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Ind w:w="11" w:type="dxa"/>
        <w:tblLayout w:type="fixed"/>
        <w:tblCellMar>
          <w:left w:w="70" w:type="dxa"/>
          <w:right w:w="70" w:type="dxa"/>
        </w:tblCellMar>
        <w:tblLook w:val="0000" w:firstRow="0" w:lastRow="0" w:firstColumn="0" w:lastColumn="0" w:noHBand="0" w:noVBand="0"/>
      </w:tblPr>
      <w:tblGrid>
        <w:gridCol w:w="1531"/>
        <w:gridCol w:w="8462"/>
      </w:tblGrid>
      <w:tr w:rsidR="001F417E" w:rsidRPr="001F417E" w:rsidTr="00D03E8C">
        <w:trPr>
          <w:trHeight w:val="133"/>
        </w:trPr>
        <w:tc>
          <w:tcPr>
            <w:tcW w:w="1531" w:type="dxa"/>
          </w:tcPr>
          <w:p w:rsidR="001F417E" w:rsidRPr="006F07EE" w:rsidRDefault="001F417E" w:rsidP="006F07EE">
            <w:pPr>
              <w:jc w:val="left"/>
              <w:rPr>
                <w:sz w:val="18"/>
                <w:szCs w:val="18"/>
              </w:rPr>
            </w:pPr>
          </w:p>
        </w:tc>
        <w:tc>
          <w:tcPr>
            <w:tcW w:w="8462" w:type="dxa"/>
          </w:tcPr>
          <w:p w:rsidR="006F07EE" w:rsidRPr="006F07EE" w:rsidRDefault="001F417E" w:rsidP="006F07EE">
            <w:pPr>
              <w:rPr>
                <w:b/>
                <w:sz w:val="28"/>
                <w:szCs w:val="28"/>
              </w:rPr>
            </w:pPr>
            <w:r w:rsidRPr="006F07EE">
              <w:rPr>
                <w:b/>
                <w:sz w:val="28"/>
                <w:szCs w:val="28"/>
              </w:rPr>
              <w:t>Loi</w:t>
            </w:r>
          </w:p>
          <w:p w:rsidR="001F417E" w:rsidRPr="006F07EE" w:rsidRDefault="001F417E" w:rsidP="006F07EE">
            <w:pPr>
              <w:rPr>
                <w:b/>
                <w:sz w:val="28"/>
                <w:szCs w:val="28"/>
              </w:rPr>
            </w:pPr>
            <w:r w:rsidRPr="006F07EE">
              <w:rPr>
                <w:b/>
                <w:sz w:val="28"/>
                <w:szCs w:val="28"/>
              </w:rPr>
              <w:t xml:space="preserve">sur les établissements de détention </w:t>
            </w:r>
          </w:p>
          <w:p w:rsidR="006F07EE" w:rsidRPr="006F07EE" w:rsidRDefault="006F07EE" w:rsidP="006F07EE"/>
        </w:tc>
      </w:tr>
      <w:tr w:rsidR="001F417E" w:rsidRPr="001F417E" w:rsidTr="00D03E8C">
        <w:tc>
          <w:tcPr>
            <w:tcW w:w="1531" w:type="dxa"/>
          </w:tcPr>
          <w:p w:rsidR="001F417E" w:rsidRPr="006F07EE" w:rsidRDefault="001F417E" w:rsidP="006F07EE">
            <w:pPr>
              <w:jc w:val="left"/>
              <w:rPr>
                <w:sz w:val="18"/>
                <w:szCs w:val="18"/>
              </w:rPr>
            </w:pPr>
          </w:p>
        </w:tc>
        <w:tc>
          <w:tcPr>
            <w:tcW w:w="8462" w:type="dxa"/>
          </w:tcPr>
          <w:p w:rsidR="001F417E" w:rsidRDefault="00F56A0D" w:rsidP="006F07EE">
            <w:r w:rsidRPr="006F07EE">
              <w:t xml:space="preserve">Modification du </w:t>
            </w:r>
            <w:r w:rsidR="00B20C2F">
              <w:t>25 juin 2014</w:t>
            </w:r>
            <w:r w:rsidR="00643E35">
              <w:t xml:space="preserve"> (</w:t>
            </w:r>
            <w:r w:rsidR="00B20C2F">
              <w:t>deuxième</w:t>
            </w:r>
            <w:r w:rsidR="00643E35">
              <w:t xml:space="preserve"> lecture)</w:t>
            </w:r>
          </w:p>
          <w:p w:rsidR="006F07EE" w:rsidRDefault="006F07EE" w:rsidP="006F07EE"/>
          <w:p w:rsidR="006F07EE" w:rsidRPr="006F07EE" w:rsidRDefault="006F07EE" w:rsidP="006F07EE"/>
        </w:tc>
      </w:tr>
      <w:tr w:rsidR="001F417E" w:rsidRPr="001F417E" w:rsidTr="00D03E8C">
        <w:tc>
          <w:tcPr>
            <w:tcW w:w="1531" w:type="dxa"/>
          </w:tcPr>
          <w:p w:rsidR="001F417E" w:rsidRPr="006F07EE" w:rsidRDefault="001F417E" w:rsidP="006F07EE">
            <w:pPr>
              <w:jc w:val="left"/>
              <w:rPr>
                <w:sz w:val="18"/>
                <w:szCs w:val="18"/>
              </w:rPr>
            </w:pPr>
          </w:p>
        </w:tc>
        <w:tc>
          <w:tcPr>
            <w:tcW w:w="8462" w:type="dxa"/>
          </w:tcPr>
          <w:p w:rsidR="001F417E" w:rsidRPr="006F07EE" w:rsidRDefault="001F417E" w:rsidP="006F07EE">
            <w:pPr>
              <w:rPr>
                <w:i/>
              </w:rPr>
            </w:pPr>
            <w:r w:rsidRPr="006F07EE">
              <w:rPr>
                <w:i/>
              </w:rPr>
              <w:t xml:space="preserve">Le Parlement de </w:t>
            </w:r>
            <w:smartTag w:uri="urn:schemas-microsoft-com:office:smarttags" w:element="PersonName">
              <w:smartTagPr>
                <w:attr w:name="ProductID" w:val="la R￩publique"/>
              </w:smartTagPr>
              <w:r w:rsidRPr="006F07EE">
                <w:rPr>
                  <w:i/>
                </w:rPr>
                <w:t>la République</w:t>
              </w:r>
            </w:smartTag>
            <w:r w:rsidR="002E0BDF" w:rsidRPr="006F07EE">
              <w:rPr>
                <w:i/>
              </w:rPr>
              <w:t xml:space="preserve"> et Canton du Jura</w:t>
            </w:r>
          </w:p>
          <w:p w:rsidR="006F07EE" w:rsidRPr="006F07EE" w:rsidRDefault="006F07EE" w:rsidP="006F07EE">
            <w:pPr>
              <w:rPr>
                <w:i/>
              </w:rPr>
            </w:pPr>
          </w:p>
        </w:tc>
      </w:tr>
      <w:tr w:rsidR="001F417E" w:rsidRPr="001F417E" w:rsidTr="00D03E8C">
        <w:tc>
          <w:tcPr>
            <w:tcW w:w="1531" w:type="dxa"/>
          </w:tcPr>
          <w:p w:rsidR="001F417E" w:rsidRPr="006F07EE" w:rsidRDefault="001F417E" w:rsidP="006F07EE">
            <w:pPr>
              <w:jc w:val="left"/>
              <w:rPr>
                <w:sz w:val="18"/>
                <w:szCs w:val="18"/>
              </w:rPr>
            </w:pPr>
          </w:p>
        </w:tc>
        <w:tc>
          <w:tcPr>
            <w:tcW w:w="8462" w:type="dxa"/>
          </w:tcPr>
          <w:p w:rsidR="001F417E" w:rsidRPr="006F07EE" w:rsidRDefault="001F417E" w:rsidP="006F07EE">
            <w:pPr>
              <w:rPr>
                <w:i/>
              </w:rPr>
            </w:pPr>
            <w:r w:rsidRPr="006F07EE">
              <w:rPr>
                <w:i/>
              </w:rPr>
              <w:t>arrête</w:t>
            </w:r>
            <w:r w:rsidR="006F07EE" w:rsidRPr="006F07EE">
              <w:rPr>
                <w:i/>
              </w:rPr>
              <w:t> :</w:t>
            </w:r>
          </w:p>
          <w:p w:rsidR="006F07EE" w:rsidRPr="006F07EE" w:rsidRDefault="006F07EE" w:rsidP="006F07EE">
            <w:pPr>
              <w:rPr>
                <w:i/>
              </w:rPr>
            </w:pPr>
          </w:p>
          <w:p w:rsidR="006F07EE" w:rsidRPr="006F07EE" w:rsidRDefault="006F07EE" w:rsidP="006F07EE">
            <w:pPr>
              <w:rPr>
                <w:i/>
              </w:rPr>
            </w:pPr>
          </w:p>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56A0D" w:rsidRPr="006F07EE" w:rsidRDefault="00F56A0D" w:rsidP="006F07EE">
            <w:pPr>
              <w:rPr>
                <w:b/>
              </w:rPr>
            </w:pPr>
            <w:r w:rsidRPr="006F07EE">
              <w:rPr>
                <w:b/>
              </w:rPr>
              <w:t>I.</w:t>
            </w:r>
          </w:p>
          <w:p w:rsidR="006F07EE" w:rsidRPr="006F07EE" w:rsidRDefault="006F07EE" w:rsidP="006F07EE"/>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56A0D" w:rsidRDefault="00F56A0D" w:rsidP="006F07EE">
            <w:r w:rsidRPr="006F07EE">
              <w:t>La loi du</w:t>
            </w:r>
            <w:r w:rsidR="00557B11" w:rsidRPr="006F07EE">
              <w:t xml:space="preserve"> 2 octobre 2013 sur les établissements de détention</w:t>
            </w:r>
            <w:r w:rsidRPr="006F07EE">
              <w:rPr>
                <w:vertAlign w:val="superscript"/>
              </w:rPr>
              <w:t>1)</w:t>
            </w:r>
            <w:r w:rsidRPr="006F07EE">
              <w:t xml:space="preserve"> est modifiée comme il suit</w:t>
            </w:r>
            <w:r w:rsidR="006F07EE">
              <w:t> :</w:t>
            </w:r>
          </w:p>
          <w:p w:rsidR="006F07EE" w:rsidRPr="006F07EE" w:rsidRDefault="006F07EE" w:rsidP="006F07EE"/>
        </w:tc>
      </w:tr>
      <w:tr w:rsidR="00D07319" w:rsidRPr="001F417E" w:rsidTr="00D03E8C">
        <w:tc>
          <w:tcPr>
            <w:tcW w:w="1531" w:type="dxa"/>
          </w:tcPr>
          <w:p w:rsidR="00D07319" w:rsidRPr="006F07EE" w:rsidRDefault="00D07319" w:rsidP="006F07EE">
            <w:pPr>
              <w:jc w:val="left"/>
              <w:rPr>
                <w:sz w:val="18"/>
                <w:szCs w:val="18"/>
              </w:rPr>
            </w:pPr>
          </w:p>
        </w:tc>
        <w:tc>
          <w:tcPr>
            <w:tcW w:w="8462" w:type="dxa"/>
          </w:tcPr>
          <w:p w:rsidR="00D07319" w:rsidRDefault="00D07319" w:rsidP="006F07EE">
            <w:r w:rsidRPr="006F07EE">
              <w:rPr>
                <w:b/>
              </w:rPr>
              <w:t>Article 2, alinéa 1, lettre b</w:t>
            </w:r>
            <w:r w:rsidRPr="006F07EE">
              <w:t xml:space="preserve"> (nouvelle teneur)</w:t>
            </w:r>
          </w:p>
          <w:p w:rsidR="006F07EE" w:rsidRPr="006F07EE" w:rsidRDefault="006F07EE" w:rsidP="006F07EE"/>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56A0D" w:rsidRPr="006F07EE" w:rsidRDefault="006F07EE" w:rsidP="006F07EE">
            <w:pPr>
              <w:ind w:left="340" w:hanging="340"/>
            </w:pPr>
            <w:r>
              <w:t>b)</w:t>
            </w:r>
            <w:r>
              <w:tab/>
              <w:t>«</w:t>
            </w:r>
            <w:r w:rsidR="00F56A0D" w:rsidRPr="006F07EE">
              <w:t>responsable</w:t>
            </w:r>
            <w:r>
              <w:t>»</w:t>
            </w:r>
            <w:r w:rsidR="00F56A0D" w:rsidRPr="006F07EE">
              <w:t xml:space="preserve"> désigne le responsable des agents de détention</w:t>
            </w:r>
            <w:r w:rsidR="003A42CE" w:rsidRPr="006F07EE">
              <w:t xml:space="preserve"> de l'établissement</w:t>
            </w:r>
            <w:r w:rsidR="00F56A0D" w:rsidRPr="006F07EE">
              <w:t xml:space="preserve"> au sens de l’article 12, alinéa 2 ;</w:t>
            </w:r>
          </w:p>
          <w:p w:rsidR="0030792E" w:rsidRDefault="0030792E" w:rsidP="006F07EE"/>
          <w:p w:rsidR="006F07EE" w:rsidRPr="006F07EE" w:rsidRDefault="006F07EE" w:rsidP="006F07EE"/>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56A0D" w:rsidRDefault="003A5244" w:rsidP="006F07EE">
            <w:r w:rsidRPr="006F07EE">
              <w:rPr>
                <w:b/>
              </w:rPr>
              <w:t>Article 3</w:t>
            </w:r>
            <w:r w:rsidR="00A61C4F" w:rsidRPr="006F07EE">
              <w:t xml:space="preserve"> (nouvelle teneur)</w:t>
            </w:r>
          </w:p>
          <w:p w:rsidR="006F07EE" w:rsidRPr="006F07EE" w:rsidRDefault="006F07EE" w:rsidP="006F07EE"/>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56A0D" w:rsidRPr="006F07EE" w:rsidRDefault="00F56A0D" w:rsidP="006F07EE">
            <w:pPr>
              <w:spacing w:after="120"/>
            </w:pPr>
            <w:r w:rsidRPr="006F07EE">
              <w:rPr>
                <w:b/>
              </w:rPr>
              <w:t>Art. 3</w:t>
            </w:r>
            <w:r w:rsidRPr="006F07EE">
              <w:t xml:space="preserve">  Les établissemen</w:t>
            </w:r>
            <w:r w:rsidR="006F07EE">
              <w:t>ts de détention du Canton sont :</w:t>
            </w:r>
          </w:p>
          <w:p w:rsidR="00F56A0D" w:rsidRPr="006F07EE" w:rsidRDefault="006F07EE" w:rsidP="006F07EE">
            <w:pPr>
              <w:ind w:left="340" w:hanging="340"/>
            </w:pPr>
            <w:r>
              <w:t>a)</w:t>
            </w:r>
            <w:r>
              <w:tab/>
            </w:r>
            <w:r w:rsidR="00F56A0D" w:rsidRPr="006F07EE">
              <w:t>la prison de Porrentruy;</w:t>
            </w:r>
          </w:p>
          <w:p w:rsidR="00A61C4F" w:rsidRPr="006F07EE" w:rsidRDefault="006F07EE" w:rsidP="006F07EE">
            <w:pPr>
              <w:ind w:left="340" w:hanging="340"/>
            </w:pPr>
            <w:r>
              <w:t>b)</w:t>
            </w:r>
            <w:r>
              <w:tab/>
            </w:r>
            <w:r w:rsidR="00A61C4F" w:rsidRPr="006F07EE">
              <w:t>la prison de Delémont;</w:t>
            </w:r>
          </w:p>
          <w:p w:rsidR="00F56A0D" w:rsidRPr="006F07EE" w:rsidRDefault="006F07EE" w:rsidP="006F07EE">
            <w:pPr>
              <w:ind w:left="340" w:hanging="340"/>
            </w:pPr>
            <w:r>
              <w:t>c)</w:t>
            </w:r>
            <w:r>
              <w:tab/>
            </w:r>
            <w:r w:rsidR="00F56A0D" w:rsidRPr="006F07EE">
              <w:t>l'Orangerie (maison d'arrêt de Porrentruy).</w:t>
            </w:r>
          </w:p>
          <w:p w:rsidR="00F56A0D" w:rsidRDefault="00F56A0D" w:rsidP="006F07EE"/>
          <w:p w:rsidR="006F07EE" w:rsidRPr="006F07EE" w:rsidRDefault="006F07EE" w:rsidP="006F07EE"/>
        </w:tc>
      </w:tr>
      <w:tr w:rsidR="00E51F5A" w:rsidRPr="001F417E" w:rsidTr="00D03E8C">
        <w:tc>
          <w:tcPr>
            <w:tcW w:w="1531" w:type="dxa"/>
          </w:tcPr>
          <w:p w:rsidR="00E51F5A" w:rsidRPr="006F07EE" w:rsidRDefault="00E51F5A" w:rsidP="006F07EE">
            <w:pPr>
              <w:jc w:val="left"/>
              <w:rPr>
                <w:sz w:val="18"/>
                <w:szCs w:val="18"/>
              </w:rPr>
            </w:pPr>
          </w:p>
        </w:tc>
        <w:tc>
          <w:tcPr>
            <w:tcW w:w="8462" w:type="dxa"/>
          </w:tcPr>
          <w:p w:rsidR="00E51F5A" w:rsidRDefault="00E51F5A" w:rsidP="006F07EE">
            <w:r w:rsidRPr="006F07EE">
              <w:rPr>
                <w:b/>
              </w:rPr>
              <w:t>Article 4</w:t>
            </w:r>
            <w:r w:rsidR="00D067AB" w:rsidRPr="006F07EE">
              <w:rPr>
                <w:b/>
              </w:rPr>
              <w:t>, phrase introductive et titre marginal</w:t>
            </w:r>
            <w:r w:rsidRPr="006F07EE">
              <w:t xml:space="preserve"> (nouvelle teneur)</w:t>
            </w:r>
          </w:p>
          <w:p w:rsidR="006F07EE" w:rsidRPr="006F07EE" w:rsidRDefault="006F07EE" w:rsidP="006F07EE"/>
        </w:tc>
      </w:tr>
      <w:tr w:rsidR="00F56A0D" w:rsidRPr="001F417E" w:rsidTr="00D03E8C">
        <w:tc>
          <w:tcPr>
            <w:tcW w:w="1531" w:type="dxa"/>
          </w:tcPr>
          <w:p w:rsidR="006F07EE" w:rsidRDefault="00F56A0D" w:rsidP="006F07EE">
            <w:pPr>
              <w:jc w:val="left"/>
              <w:rPr>
                <w:sz w:val="18"/>
                <w:szCs w:val="18"/>
              </w:rPr>
            </w:pPr>
            <w:r w:rsidRPr="006F07EE">
              <w:rPr>
                <w:sz w:val="18"/>
                <w:szCs w:val="18"/>
              </w:rPr>
              <w:t>Régimes de détention</w:t>
            </w:r>
          </w:p>
          <w:p w:rsidR="00F56A0D" w:rsidRPr="006F07EE" w:rsidRDefault="00F56A0D" w:rsidP="006F07EE">
            <w:pPr>
              <w:jc w:val="left"/>
              <w:rPr>
                <w:sz w:val="18"/>
                <w:szCs w:val="18"/>
              </w:rPr>
            </w:pPr>
            <w:r w:rsidRPr="006F07EE">
              <w:rPr>
                <w:sz w:val="18"/>
                <w:szCs w:val="18"/>
              </w:rPr>
              <w:t>1. Prison</w:t>
            </w:r>
            <w:r w:rsidR="00E51F5A" w:rsidRPr="006F07EE">
              <w:rPr>
                <w:sz w:val="18"/>
                <w:szCs w:val="18"/>
              </w:rPr>
              <w:t>s</w:t>
            </w:r>
            <w:r w:rsidRPr="006F07EE">
              <w:rPr>
                <w:sz w:val="18"/>
                <w:szCs w:val="18"/>
              </w:rPr>
              <w:t xml:space="preserve"> de Porrentruy</w:t>
            </w:r>
            <w:r w:rsidR="00E51F5A" w:rsidRPr="006F07EE">
              <w:rPr>
                <w:sz w:val="18"/>
                <w:szCs w:val="18"/>
              </w:rPr>
              <w:t xml:space="preserve"> et Delémont</w:t>
            </w:r>
          </w:p>
        </w:tc>
        <w:tc>
          <w:tcPr>
            <w:tcW w:w="8462" w:type="dxa"/>
          </w:tcPr>
          <w:p w:rsidR="00F56A0D" w:rsidRDefault="00F56A0D" w:rsidP="006F07EE">
            <w:pPr>
              <w:spacing w:after="120"/>
            </w:pPr>
            <w:r w:rsidRPr="006F07EE">
              <w:rPr>
                <w:b/>
              </w:rPr>
              <w:t>Art. 4</w:t>
            </w:r>
            <w:r w:rsidRPr="006F07EE">
              <w:t xml:space="preserve">  Peuvent être exécutées à la prison de Porrentruy </w:t>
            </w:r>
            <w:r w:rsidR="0061409A" w:rsidRPr="006F07EE">
              <w:t>et à la p</w:t>
            </w:r>
            <w:r w:rsidR="00E51F5A" w:rsidRPr="006F07EE">
              <w:t>rison de De</w:t>
            </w:r>
            <w:r w:rsidR="006F07EE">
              <w:t>lémont :</w:t>
            </w:r>
          </w:p>
          <w:p w:rsidR="00F56A0D" w:rsidRDefault="00F56A0D" w:rsidP="006F07EE"/>
          <w:p w:rsidR="00F56A0D" w:rsidRPr="006F07EE" w:rsidRDefault="00F56A0D" w:rsidP="006F07EE"/>
        </w:tc>
      </w:tr>
      <w:tr w:rsidR="00F56A0D" w:rsidRPr="001F417E" w:rsidTr="00D03E8C">
        <w:trPr>
          <w:trHeight w:val="133"/>
        </w:trPr>
        <w:tc>
          <w:tcPr>
            <w:tcW w:w="1531" w:type="dxa"/>
          </w:tcPr>
          <w:p w:rsidR="00F56A0D" w:rsidRPr="006F07EE" w:rsidRDefault="00F56A0D" w:rsidP="006F07EE">
            <w:pPr>
              <w:jc w:val="left"/>
              <w:rPr>
                <w:sz w:val="18"/>
                <w:szCs w:val="18"/>
              </w:rPr>
            </w:pPr>
          </w:p>
        </w:tc>
        <w:tc>
          <w:tcPr>
            <w:tcW w:w="8462" w:type="dxa"/>
          </w:tcPr>
          <w:p w:rsidR="00F56A0D" w:rsidRDefault="001E690E" w:rsidP="006F07EE">
            <w:r w:rsidRPr="006F07EE">
              <w:rPr>
                <w:b/>
              </w:rPr>
              <w:t xml:space="preserve">Article 6, alinéa 2 </w:t>
            </w:r>
            <w:r w:rsidRPr="006F07EE">
              <w:t>(nouvelle teneur)</w:t>
            </w:r>
          </w:p>
          <w:p w:rsidR="006F07EE" w:rsidRPr="006F07EE" w:rsidRDefault="006F07EE" w:rsidP="006F07EE"/>
        </w:tc>
      </w:tr>
      <w:tr w:rsidR="00F56A0D" w:rsidRPr="001F417E" w:rsidTr="00D03E8C">
        <w:tc>
          <w:tcPr>
            <w:tcW w:w="1531" w:type="dxa"/>
          </w:tcPr>
          <w:p w:rsidR="00F56A0D" w:rsidRPr="006F07EE" w:rsidRDefault="00F56A0D" w:rsidP="006F07EE">
            <w:pPr>
              <w:jc w:val="left"/>
              <w:rPr>
                <w:sz w:val="18"/>
                <w:szCs w:val="18"/>
              </w:rPr>
            </w:pPr>
          </w:p>
        </w:tc>
        <w:tc>
          <w:tcPr>
            <w:tcW w:w="8462" w:type="dxa"/>
          </w:tcPr>
          <w:p w:rsidR="00F825C2" w:rsidRDefault="0082046A" w:rsidP="006F07EE">
            <w:pPr>
              <w:rPr>
                <w:color w:val="000000"/>
                <w:kern w:val="28"/>
                <w:lang w:val="fr-CH"/>
              </w:rPr>
            </w:pPr>
            <w:r w:rsidRPr="006F07EE">
              <w:rPr>
                <w:color w:val="000000"/>
                <w:kern w:val="28"/>
                <w:vertAlign w:val="superscript"/>
                <w:lang w:val="fr-CH"/>
              </w:rPr>
              <w:t>2</w:t>
            </w:r>
            <w:r w:rsidRPr="006F07EE">
              <w:rPr>
                <w:color w:val="000000"/>
                <w:kern w:val="28"/>
                <w:lang w:val="fr-CH"/>
              </w:rPr>
              <w:t xml:space="preserve"> </w:t>
            </w:r>
            <w:r w:rsidR="004E397E" w:rsidRPr="006F07EE">
              <w:rPr>
                <w:color w:val="000000"/>
                <w:kern w:val="28"/>
                <w:lang w:val="fr-CH"/>
              </w:rPr>
              <w:t xml:space="preserve">Lorsque la </w:t>
            </w:r>
            <w:r w:rsidRPr="006F07EE">
              <w:rPr>
                <w:color w:val="000000"/>
                <w:kern w:val="28"/>
                <w:lang w:val="fr-CH"/>
              </w:rPr>
              <w:t xml:space="preserve">place disponible </w:t>
            </w:r>
            <w:r w:rsidR="004E397E" w:rsidRPr="006F07EE">
              <w:rPr>
                <w:color w:val="000000"/>
                <w:kern w:val="28"/>
                <w:lang w:val="fr-CH"/>
              </w:rPr>
              <w:t>permet de</w:t>
            </w:r>
            <w:r w:rsidRPr="006F07EE">
              <w:rPr>
                <w:color w:val="000000"/>
                <w:kern w:val="28"/>
                <w:lang w:val="fr-CH"/>
              </w:rPr>
              <w:t xml:space="preserve"> garantir la séparation appropriée des détenus majeurs et mineurs, ces derniers peuvent être placés </w:t>
            </w:r>
            <w:r w:rsidR="006E2D8F" w:rsidRPr="006F07EE">
              <w:rPr>
                <w:color w:val="000000"/>
                <w:kern w:val="28"/>
                <w:lang w:val="fr-CH"/>
              </w:rPr>
              <w:t xml:space="preserve">temporairement </w:t>
            </w:r>
            <w:r w:rsidR="00A57DD0" w:rsidRPr="006F07EE">
              <w:rPr>
                <w:color w:val="000000"/>
                <w:kern w:val="28"/>
                <w:lang w:val="fr-CH"/>
              </w:rPr>
              <w:t>à la p</w:t>
            </w:r>
            <w:r w:rsidRPr="006F07EE">
              <w:rPr>
                <w:color w:val="000000"/>
                <w:kern w:val="28"/>
                <w:lang w:val="fr-CH"/>
              </w:rPr>
              <w:t>rison de Delémont</w:t>
            </w:r>
            <w:r w:rsidR="00F733B6" w:rsidRPr="006F07EE">
              <w:rPr>
                <w:color w:val="000000"/>
                <w:kern w:val="28"/>
                <w:lang w:val="fr-CH"/>
              </w:rPr>
              <w:t>, notamment</w:t>
            </w:r>
            <w:r w:rsidR="006E2D8F" w:rsidRPr="006F07EE">
              <w:rPr>
                <w:color w:val="000000"/>
                <w:kern w:val="28"/>
                <w:lang w:val="fr-CH"/>
              </w:rPr>
              <w:t xml:space="preserve"> dans l'attente d'un transfert</w:t>
            </w:r>
            <w:r w:rsidR="00CE3AD4" w:rsidRPr="006F07EE">
              <w:rPr>
                <w:color w:val="000000"/>
                <w:kern w:val="28"/>
                <w:lang w:val="fr-CH"/>
              </w:rPr>
              <w:t xml:space="preserve"> vers un établissement prévu à cet effet</w:t>
            </w:r>
            <w:r w:rsidRPr="006F07EE">
              <w:rPr>
                <w:color w:val="000000"/>
                <w:kern w:val="28"/>
                <w:lang w:val="fr-CH"/>
              </w:rPr>
              <w:t>. La législation spéciale relative aux mineurs est réservée.</w:t>
            </w:r>
          </w:p>
          <w:p w:rsidR="006F07EE" w:rsidRDefault="006F07EE" w:rsidP="006F07EE">
            <w:pPr>
              <w:rPr>
                <w:color w:val="000000"/>
                <w:kern w:val="28"/>
                <w:lang w:val="fr-CH"/>
              </w:rPr>
            </w:pPr>
          </w:p>
          <w:p w:rsidR="00B20C2F" w:rsidRDefault="00B20C2F" w:rsidP="006F07EE">
            <w:pPr>
              <w:rPr>
                <w:color w:val="000000"/>
                <w:kern w:val="28"/>
                <w:lang w:val="fr-CH"/>
              </w:rPr>
            </w:pPr>
          </w:p>
          <w:p w:rsidR="00B20C2F" w:rsidRDefault="00B20C2F" w:rsidP="006F07EE">
            <w:pPr>
              <w:rPr>
                <w:color w:val="000000"/>
                <w:kern w:val="28"/>
                <w:lang w:val="fr-CH"/>
              </w:rPr>
            </w:pPr>
          </w:p>
          <w:p w:rsidR="006F07EE" w:rsidRPr="006F07EE" w:rsidRDefault="006F07EE" w:rsidP="006F07EE"/>
        </w:tc>
      </w:tr>
      <w:tr w:rsidR="007F2284" w:rsidRPr="001F417E" w:rsidTr="00D03E8C">
        <w:trPr>
          <w:trHeight w:val="133"/>
        </w:trPr>
        <w:tc>
          <w:tcPr>
            <w:tcW w:w="1531" w:type="dxa"/>
          </w:tcPr>
          <w:p w:rsidR="007F2284" w:rsidRPr="006F07EE" w:rsidRDefault="007F2284" w:rsidP="006F07EE">
            <w:pPr>
              <w:jc w:val="left"/>
              <w:rPr>
                <w:sz w:val="18"/>
                <w:szCs w:val="18"/>
              </w:rPr>
            </w:pPr>
          </w:p>
        </w:tc>
        <w:tc>
          <w:tcPr>
            <w:tcW w:w="8462" w:type="dxa"/>
          </w:tcPr>
          <w:p w:rsidR="007F2284" w:rsidRDefault="007F2284" w:rsidP="006F07EE">
            <w:r w:rsidRPr="006F07EE">
              <w:rPr>
                <w:b/>
              </w:rPr>
              <w:t>Article 10</w:t>
            </w:r>
            <w:r w:rsidR="0011338D" w:rsidRPr="006F07EE">
              <w:rPr>
                <w:b/>
              </w:rPr>
              <w:t>, alinéas 3</w:t>
            </w:r>
            <w:r w:rsidR="006B6CBA" w:rsidRPr="006F07EE">
              <w:rPr>
                <w:b/>
              </w:rPr>
              <w:t xml:space="preserve"> </w:t>
            </w:r>
            <w:r w:rsidR="000D52EB" w:rsidRPr="006F07EE">
              <w:rPr>
                <w:b/>
              </w:rPr>
              <w:t>et 4</w:t>
            </w:r>
            <w:r w:rsidR="000D52EB" w:rsidRPr="006F07EE">
              <w:t xml:space="preserve"> (</w:t>
            </w:r>
            <w:r w:rsidR="006B6CBA" w:rsidRPr="006F07EE">
              <w:t>nouvelle teneur)</w:t>
            </w:r>
            <w:r w:rsidR="0011338D" w:rsidRPr="006F07EE">
              <w:t xml:space="preserve"> </w:t>
            </w:r>
          </w:p>
          <w:p w:rsidR="006F07EE" w:rsidRPr="006F07EE" w:rsidRDefault="006F07EE" w:rsidP="006F07EE"/>
        </w:tc>
      </w:tr>
      <w:tr w:rsidR="007F2284" w:rsidRPr="001F417E" w:rsidTr="00D03E8C">
        <w:trPr>
          <w:trHeight w:val="133"/>
        </w:trPr>
        <w:tc>
          <w:tcPr>
            <w:tcW w:w="1531" w:type="dxa"/>
          </w:tcPr>
          <w:p w:rsidR="007F2284" w:rsidRPr="006F07EE" w:rsidRDefault="007F2284" w:rsidP="006F07EE">
            <w:pPr>
              <w:jc w:val="left"/>
              <w:rPr>
                <w:sz w:val="18"/>
                <w:szCs w:val="18"/>
              </w:rPr>
            </w:pPr>
          </w:p>
        </w:tc>
        <w:tc>
          <w:tcPr>
            <w:tcW w:w="8462" w:type="dxa"/>
          </w:tcPr>
          <w:p w:rsidR="0011338D" w:rsidRDefault="0011338D" w:rsidP="006F07EE">
            <w:r w:rsidRPr="006F07EE">
              <w:rPr>
                <w:vertAlign w:val="superscript"/>
              </w:rPr>
              <w:t>3</w:t>
            </w:r>
            <w:r w:rsidRPr="006F07EE">
              <w:t xml:space="preserve"> </w:t>
            </w:r>
            <w:r w:rsidR="002100F6" w:rsidRPr="006F07EE">
              <w:t xml:space="preserve">Le </w:t>
            </w:r>
            <w:r w:rsidR="006A5BB5" w:rsidRPr="006F07EE">
              <w:t>Gouvernement détermine, par voie</w:t>
            </w:r>
            <w:r w:rsidR="002100F6" w:rsidRPr="006F07EE">
              <w:t xml:space="preserve"> d'</w:t>
            </w:r>
            <w:r w:rsidR="007C7874" w:rsidRPr="006F07EE">
              <w:t>ordonnance</w:t>
            </w:r>
            <w:r w:rsidR="002100F6" w:rsidRPr="006F07EE">
              <w:t>, les modalités du service de piquet</w:t>
            </w:r>
            <w:r w:rsidR="006B6CBA" w:rsidRPr="006F07EE">
              <w:t xml:space="preserve"> et de remplacement en cas d'absence</w:t>
            </w:r>
            <w:r w:rsidR="000D52EB" w:rsidRPr="006F07EE">
              <w:t xml:space="preserve"> </w:t>
            </w:r>
            <w:r w:rsidR="00E85F33" w:rsidRPr="006F07EE">
              <w:t xml:space="preserve">ou d'empêchement </w:t>
            </w:r>
            <w:r w:rsidR="000D52EB" w:rsidRPr="006F07EE">
              <w:t>du directeur et du responsable</w:t>
            </w:r>
            <w:r w:rsidR="00B517A3" w:rsidRPr="006F07EE">
              <w:t xml:space="preserve">. </w:t>
            </w:r>
          </w:p>
          <w:p w:rsidR="006F07EE" w:rsidRPr="006F07EE" w:rsidRDefault="006F07EE" w:rsidP="006F07EE"/>
          <w:p w:rsidR="006B6CBA" w:rsidRDefault="006B6CBA" w:rsidP="006F07EE">
            <w:r w:rsidRPr="006F07EE">
              <w:rPr>
                <w:vertAlign w:val="superscript"/>
              </w:rPr>
              <w:t>4</w:t>
            </w:r>
            <w:r w:rsidRPr="006F07EE">
              <w:t xml:space="preserve"> </w:t>
            </w:r>
            <w:r w:rsidR="000D52EB" w:rsidRPr="006F07EE">
              <w:t xml:space="preserve">Il peut en particulier </w:t>
            </w:r>
            <w:r w:rsidR="00CD7CDE" w:rsidRPr="006F07EE">
              <w:t xml:space="preserve">déterminer les cas dans lesquels les compétences </w:t>
            </w:r>
            <w:r w:rsidR="00E85F33" w:rsidRPr="006F07EE">
              <w:t xml:space="preserve">du directeur </w:t>
            </w:r>
            <w:r w:rsidR="00CD7CDE" w:rsidRPr="006F07EE">
              <w:t>sont transmises au Service juridique</w:t>
            </w:r>
            <w:r w:rsidR="00E85F33" w:rsidRPr="006F07EE">
              <w:t xml:space="preserve"> ou</w:t>
            </w:r>
            <w:r w:rsidR="00CD7CDE" w:rsidRPr="006F07EE">
              <w:t xml:space="preserve"> au responsable.</w:t>
            </w:r>
          </w:p>
          <w:p w:rsidR="006F07EE" w:rsidRDefault="006F07EE" w:rsidP="006F07EE"/>
          <w:p w:rsidR="006F07EE" w:rsidRPr="006F07EE" w:rsidRDefault="006F07EE" w:rsidP="006F07EE"/>
        </w:tc>
      </w:tr>
      <w:tr w:rsidR="00F56A0D" w:rsidRPr="001F417E" w:rsidTr="00D03E8C">
        <w:trPr>
          <w:trHeight w:val="133"/>
        </w:trPr>
        <w:tc>
          <w:tcPr>
            <w:tcW w:w="1531" w:type="dxa"/>
          </w:tcPr>
          <w:p w:rsidR="00F56A0D" w:rsidRPr="006F07EE" w:rsidRDefault="00F56A0D" w:rsidP="006F07EE">
            <w:pPr>
              <w:jc w:val="left"/>
              <w:rPr>
                <w:sz w:val="18"/>
                <w:szCs w:val="18"/>
              </w:rPr>
            </w:pPr>
          </w:p>
        </w:tc>
        <w:tc>
          <w:tcPr>
            <w:tcW w:w="8462" w:type="dxa"/>
          </w:tcPr>
          <w:p w:rsidR="00F56A0D" w:rsidRDefault="00C2465D" w:rsidP="006F07EE">
            <w:r w:rsidRPr="006F07EE">
              <w:rPr>
                <w:b/>
              </w:rPr>
              <w:t>Article 12, alinéa 2</w:t>
            </w:r>
            <w:r w:rsidRPr="006F07EE">
              <w:t xml:space="preserve"> (nouvelle teneur)</w:t>
            </w:r>
          </w:p>
          <w:p w:rsidR="006F07EE" w:rsidRPr="006F07EE" w:rsidRDefault="006F07EE" w:rsidP="006F07EE"/>
        </w:tc>
      </w:tr>
      <w:tr w:rsidR="00F56A0D" w:rsidRPr="001F417E" w:rsidTr="00D03E8C">
        <w:tc>
          <w:tcPr>
            <w:tcW w:w="1531" w:type="dxa"/>
          </w:tcPr>
          <w:p w:rsidR="00F56A0D" w:rsidRPr="006F07EE" w:rsidRDefault="00F56A0D" w:rsidP="006F07EE">
            <w:pPr>
              <w:jc w:val="left"/>
              <w:rPr>
                <w:color w:val="000000"/>
                <w:kern w:val="28"/>
                <w:sz w:val="18"/>
                <w:szCs w:val="18"/>
                <w:lang w:val="fr-CH"/>
              </w:rPr>
            </w:pPr>
          </w:p>
        </w:tc>
        <w:tc>
          <w:tcPr>
            <w:tcW w:w="8462" w:type="dxa"/>
          </w:tcPr>
          <w:p w:rsidR="00F56A0D" w:rsidRPr="00B20C2F" w:rsidRDefault="00F56A0D" w:rsidP="006F07EE">
            <w:pPr>
              <w:rPr>
                <w:color w:val="000000"/>
                <w:kern w:val="28"/>
                <w:lang w:val="fr-CH"/>
              </w:rPr>
            </w:pPr>
            <w:r w:rsidRPr="006F07EE">
              <w:rPr>
                <w:color w:val="000000"/>
                <w:kern w:val="28"/>
                <w:vertAlign w:val="superscript"/>
                <w:lang w:val="fr-CH"/>
              </w:rPr>
              <w:t>2</w:t>
            </w:r>
            <w:r w:rsidR="00F768C5" w:rsidRPr="006F07EE">
              <w:rPr>
                <w:color w:val="000000"/>
                <w:kern w:val="28"/>
                <w:lang w:val="fr-CH"/>
              </w:rPr>
              <w:t xml:space="preserve"> Le Département</w:t>
            </w:r>
            <w:r w:rsidRPr="006F07EE">
              <w:rPr>
                <w:color w:val="000000"/>
                <w:kern w:val="28"/>
                <w:lang w:val="fr-CH"/>
              </w:rPr>
              <w:t xml:space="preserve"> désigne un </w:t>
            </w:r>
            <w:r w:rsidR="006A7442" w:rsidRPr="006F07EE">
              <w:rPr>
                <w:color w:val="000000"/>
                <w:kern w:val="28"/>
                <w:lang w:val="fr-CH"/>
              </w:rPr>
              <w:t xml:space="preserve">ou plusieurs </w:t>
            </w:r>
            <w:r w:rsidRPr="006F07EE">
              <w:rPr>
                <w:color w:val="000000"/>
                <w:kern w:val="28"/>
                <w:lang w:val="fr-CH"/>
              </w:rPr>
              <w:t>responsable</w:t>
            </w:r>
            <w:r w:rsidR="006A7442" w:rsidRPr="006F07EE">
              <w:rPr>
                <w:color w:val="000000"/>
                <w:kern w:val="28"/>
                <w:lang w:val="fr-CH"/>
              </w:rPr>
              <w:t>s</w:t>
            </w:r>
            <w:r w:rsidRPr="006F07EE">
              <w:rPr>
                <w:color w:val="000000"/>
                <w:kern w:val="28"/>
                <w:lang w:val="fr-CH"/>
              </w:rPr>
              <w:t xml:space="preserve"> </w:t>
            </w:r>
            <w:r w:rsidR="00E36DE3" w:rsidRPr="006F07EE">
              <w:rPr>
                <w:color w:val="000000"/>
                <w:kern w:val="28"/>
                <w:lang w:val="fr-CH"/>
              </w:rPr>
              <w:t xml:space="preserve">pour </w:t>
            </w:r>
            <w:r w:rsidR="006A7442" w:rsidRPr="006F07EE">
              <w:rPr>
                <w:color w:val="000000"/>
                <w:kern w:val="28"/>
                <w:lang w:val="fr-CH"/>
              </w:rPr>
              <w:t>chaque établissement</w:t>
            </w:r>
            <w:r w:rsidR="00E36DE3" w:rsidRPr="006F07EE">
              <w:rPr>
                <w:color w:val="000000"/>
                <w:kern w:val="28"/>
                <w:lang w:val="fr-CH"/>
              </w:rPr>
              <w:t>.</w:t>
            </w:r>
            <w:r w:rsidRPr="006F07EE">
              <w:rPr>
                <w:color w:val="000000"/>
                <w:kern w:val="28"/>
                <w:lang w:val="fr-CH"/>
              </w:rPr>
              <w:t xml:space="preserve"> </w:t>
            </w:r>
            <w:r w:rsidR="007C7874" w:rsidRPr="006F07EE">
              <w:rPr>
                <w:color w:val="000000"/>
                <w:kern w:val="28"/>
                <w:lang w:val="fr-CH"/>
              </w:rPr>
              <w:t xml:space="preserve">Selon les modalités définies par le Gouvernement par </w:t>
            </w:r>
            <w:r w:rsidR="00210CD5" w:rsidRPr="006F07EE">
              <w:rPr>
                <w:color w:val="000000"/>
                <w:kern w:val="28"/>
                <w:lang w:val="fr-CH"/>
              </w:rPr>
              <w:t xml:space="preserve">voie </w:t>
            </w:r>
            <w:r w:rsidR="007C7874" w:rsidRPr="006F07EE">
              <w:rPr>
                <w:color w:val="000000"/>
                <w:kern w:val="28"/>
                <w:lang w:val="fr-CH"/>
              </w:rPr>
              <w:t xml:space="preserve">d'ordonnance, </w:t>
            </w:r>
            <w:r w:rsidR="002218AE" w:rsidRPr="006F07EE">
              <w:rPr>
                <w:color w:val="000000"/>
                <w:kern w:val="28"/>
                <w:lang w:val="fr-CH"/>
              </w:rPr>
              <w:t>ceux-ci</w:t>
            </w:r>
            <w:r w:rsidR="007C7874" w:rsidRPr="006F07EE">
              <w:rPr>
                <w:color w:val="000000"/>
                <w:kern w:val="28"/>
                <w:lang w:val="fr-CH"/>
              </w:rPr>
              <w:t xml:space="preserve"> peuvent être amenés à se </w:t>
            </w:r>
            <w:r w:rsidR="00E36DE3" w:rsidRPr="006F07EE">
              <w:rPr>
                <w:color w:val="000000"/>
                <w:kern w:val="28"/>
                <w:lang w:val="fr-CH"/>
              </w:rPr>
              <w:t>supplée</w:t>
            </w:r>
            <w:r w:rsidR="007C7874" w:rsidRPr="006F07EE">
              <w:rPr>
                <w:color w:val="000000"/>
                <w:kern w:val="28"/>
                <w:lang w:val="fr-CH"/>
              </w:rPr>
              <w:t>r</w:t>
            </w:r>
            <w:r w:rsidR="00535FF9">
              <w:rPr>
                <w:color w:val="000000"/>
                <w:kern w:val="28"/>
                <w:lang w:val="fr-CH"/>
              </w:rPr>
              <w:t xml:space="preserve"> </w:t>
            </w:r>
            <w:r w:rsidR="00535FF9" w:rsidRPr="00B20C2F">
              <w:rPr>
                <w:color w:val="000000"/>
                <w:kern w:val="28"/>
                <w:lang w:val="fr-CH"/>
              </w:rPr>
              <w:t>l’un l’autre</w:t>
            </w:r>
            <w:r w:rsidRPr="00B20C2F">
              <w:rPr>
                <w:color w:val="000000"/>
                <w:kern w:val="28"/>
                <w:lang w:val="fr-CH"/>
              </w:rPr>
              <w:t xml:space="preserve">. </w:t>
            </w:r>
          </w:p>
          <w:p w:rsidR="006F07EE" w:rsidRPr="00B20C2F" w:rsidRDefault="006F07EE" w:rsidP="006F07EE">
            <w:pPr>
              <w:rPr>
                <w:color w:val="000000"/>
                <w:kern w:val="28"/>
                <w:lang w:val="fr-CH"/>
              </w:rPr>
            </w:pPr>
          </w:p>
          <w:p w:rsidR="006F07EE" w:rsidRPr="006F07EE" w:rsidRDefault="006F07EE" w:rsidP="006F07EE">
            <w:pPr>
              <w:rPr>
                <w:color w:val="000000"/>
                <w:kern w:val="28"/>
                <w:lang w:val="fr-CH"/>
              </w:rPr>
            </w:pPr>
          </w:p>
        </w:tc>
      </w:tr>
      <w:tr w:rsidR="00A478E8" w:rsidRPr="001F417E" w:rsidTr="00D03E8C">
        <w:trPr>
          <w:trHeight w:val="133"/>
        </w:trPr>
        <w:tc>
          <w:tcPr>
            <w:tcW w:w="1531" w:type="dxa"/>
          </w:tcPr>
          <w:p w:rsidR="00A478E8" w:rsidRPr="006F07EE" w:rsidRDefault="00A478E8" w:rsidP="006F07EE">
            <w:pPr>
              <w:jc w:val="left"/>
              <w:rPr>
                <w:sz w:val="18"/>
                <w:szCs w:val="18"/>
              </w:rPr>
            </w:pPr>
          </w:p>
        </w:tc>
        <w:tc>
          <w:tcPr>
            <w:tcW w:w="8462" w:type="dxa"/>
          </w:tcPr>
          <w:p w:rsidR="00A478E8" w:rsidRDefault="00A478E8" w:rsidP="006F07EE">
            <w:r w:rsidRPr="006F07EE">
              <w:rPr>
                <w:b/>
              </w:rPr>
              <w:t>Article 57</w:t>
            </w:r>
            <w:r w:rsidRPr="006F07EE">
              <w:t xml:space="preserve"> (nouvelle teneur)</w:t>
            </w:r>
          </w:p>
          <w:p w:rsidR="006F07EE" w:rsidRPr="006F07EE" w:rsidRDefault="006F07EE" w:rsidP="006F07EE"/>
        </w:tc>
      </w:tr>
      <w:tr w:rsidR="00F01A0E" w:rsidRPr="001F417E" w:rsidTr="00D03E8C">
        <w:trPr>
          <w:trHeight w:val="133"/>
        </w:trPr>
        <w:tc>
          <w:tcPr>
            <w:tcW w:w="1531" w:type="dxa"/>
          </w:tcPr>
          <w:p w:rsidR="00F01A0E" w:rsidRPr="006F07EE" w:rsidRDefault="00F01A0E" w:rsidP="006F07EE">
            <w:pPr>
              <w:jc w:val="left"/>
              <w:rPr>
                <w:sz w:val="18"/>
                <w:szCs w:val="18"/>
              </w:rPr>
            </w:pPr>
          </w:p>
        </w:tc>
        <w:tc>
          <w:tcPr>
            <w:tcW w:w="8462" w:type="dxa"/>
          </w:tcPr>
          <w:p w:rsidR="00F01A0E" w:rsidRDefault="00F01A0E" w:rsidP="006F07EE">
            <w:r w:rsidRPr="006F07EE">
              <w:rPr>
                <w:b/>
                <w:bCs/>
              </w:rPr>
              <w:t>Art. 57</w:t>
            </w:r>
            <w:r w:rsidRPr="006F07EE">
              <w:rPr>
                <w:bCs/>
                <w:sz w:val="22"/>
                <w:szCs w:val="22"/>
              </w:rPr>
              <w:t xml:space="preserve">  </w:t>
            </w:r>
            <w:r w:rsidRPr="006F07EE">
              <w:rPr>
                <w:vertAlign w:val="superscript"/>
              </w:rPr>
              <w:t>1</w:t>
            </w:r>
            <w:r w:rsidRPr="006F07EE">
              <w:t xml:space="preserve"> Pour des motifs de sécurité, une vidéosurveillance peut être  installée à l’entrée de l'établissement et dans les locaux communs de détention.</w:t>
            </w:r>
          </w:p>
          <w:p w:rsidR="006F07EE" w:rsidRDefault="006F07EE" w:rsidP="006F07EE"/>
          <w:p w:rsidR="006F07EE" w:rsidRDefault="006F07EE" w:rsidP="006F07EE">
            <w:r w:rsidRPr="006F07EE">
              <w:rPr>
                <w:vertAlign w:val="superscript"/>
              </w:rPr>
              <w:t>2</w:t>
            </w:r>
            <w:r w:rsidRPr="006F07EE">
              <w:t xml:space="preserve"> Une vidéosurveillance peut être installée dans les cellules de réflexion. Elle n'est utilisée que sur ordre du directeur lorsque le détenu représente un risque pour lui-même ou pour les tiers. Celui-ci en es</w:t>
            </w:r>
            <w:bookmarkStart w:id="0" w:name="_GoBack"/>
            <w:bookmarkEnd w:id="0"/>
            <w:r w:rsidRPr="006F07EE">
              <w:t>t informé</w:t>
            </w:r>
            <w:r w:rsidRPr="006F07EE">
              <w:rPr>
                <w:sz w:val="20"/>
              </w:rPr>
              <w:t>.</w:t>
            </w:r>
            <w:r w:rsidRPr="006F07EE">
              <w:t xml:space="preserve"> </w:t>
            </w:r>
          </w:p>
          <w:p w:rsidR="006F07EE" w:rsidRPr="006F07EE" w:rsidRDefault="006F07EE" w:rsidP="006F07EE"/>
          <w:p w:rsidR="006F07EE" w:rsidRDefault="006F07EE" w:rsidP="006F07EE">
            <w:r w:rsidRPr="006F07EE">
              <w:rPr>
                <w:vertAlign w:val="superscript"/>
              </w:rPr>
              <w:t>3</w:t>
            </w:r>
            <w:r w:rsidRPr="006F07EE">
              <w:t xml:space="preserve"> Une vidéosurveillance n’est pas autorisée dans d’autres lieux, notamment dans les cellules ordinaires et dans les sanitaires.</w:t>
            </w:r>
          </w:p>
          <w:p w:rsidR="006F07EE" w:rsidRPr="006F07EE" w:rsidRDefault="006F07EE" w:rsidP="006F07EE"/>
          <w:p w:rsidR="006F07EE" w:rsidRDefault="006F07EE" w:rsidP="006F07EE">
            <w:r w:rsidRPr="006F07EE">
              <w:rPr>
                <w:vertAlign w:val="superscript"/>
              </w:rPr>
              <w:t>4</w:t>
            </w:r>
            <w:r w:rsidRPr="006F07EE">
              <w:t xml:space="preserve"> La vidéosurveillance est rendue visible, avec référence au présent article.</w:t>
            </w:r>
          </w:p>
          <w:p w:rsidR="006F07EE" w:rsidRDefault="006F07EE" w:rsidP="006F07EE"/>
          <w:p w:rsidR="006F07EE" w:rsidRDefault="006F07EE" w:rsidP="006F07EE">
            <w:r w:rsidRPr="006F07EE">
              <w:rPr>
                <w:vertAlign w:val="superscript"/>
              </w:rPr>
              <w:t>5</w:t>
            </w:r>
            <w:r w:rsidRPr="006F07EE">
              <w:t xml:space="preserve"> L’agent de détention s’assure du fonctionnement de la vidéosurveillance et des mesures organisationnelles et techniques propres à assurer l'intégrité, la disponibilité et la confidentialité des données.</w:t>
            </w:r>
          </w:p>
          <w:p w:rsidR="006F07EE" w:rsidRPr="006F07EE" w:rsidRDefault="006F07EE" w:rsidP="006F07EE">
            <w:pPr>
              <w:rPr>
                <w:rFonts w:cs="Arial"/>
                <w:szCs w:val="24"/>
              </w:rPr>
            </w:pPr>
          </w:p>
          <w:p w:rsidR="006F07EE" w:rsidRDefault="006F07EE" w:rsidP="006F07EE">
            <w:r w:rsidRPr="006F07EE">
              <w:rPr>
                <w:vertAlign w:val="superscript"/>
              </w:rPr>
              <w:t>6</w:t>
            </w:r>
            <w:r w:rsidRPr="006F07EE">
              <w:t xml:space="preserve"> La vidéosurveillance permet, à des fins de sécurité, le visionnage direct des images par les agents, le responsable et le directeur. En cas d'alarme, les images peuvent également être visionnées directement par la police cantonale.</w:t>
            </w:r>
          </w:p>
          <w:p w:rsidR="006F07EE" w:rsidRPr="006F07EE" w:rsidRDefault="006F07EE" w:rsidP="006F07EE">
            <w:pPr>
              <w:rPr>
                <w:highlight w:val="yellow"/>
              </w:rPr>
            </w:pPr>
          </w:p>
          <w:p w:rsidR="006F07EE" w:rsidRDefault="006F07EE" w:rsidP="006F07EE">
            <w:r w:rsidRPr="006F07EE">
              <w:rPr>
                <w:vertAlign w:val="superscript"/>
              </w:rPr>
              <w:t>7</w:t>
            </w:r>
            <w:r w:rsidRPr="006F07EE">
              <w:t xml:space="preserve"> La vidéosurveillance est équipée d'un système d'enregistrement. Les données sont conservées 48 heures. Si une procédure pénale ou disciplinaire est ouverte, l’autorité en charge de la procédure peut décider de conserver l’enregistrement pendant la durée de celle-ci. En cas de nécessité, seuls le directeur, le responsable, le Service juridique, l’autorité d’écrou et les autorités de poursuite pénale sont habilités à consulter les données.</w:t>
            </w:r>
          </w:p>
          <w:p w:rsidR="006F07EE" w:rsidRDefault="006F07EE" w:rsidP="006F07EE"/>
          <w:p w:rsidR="006F07EE" w:rsidRDefault="006F07EE" w:rsidP="006F07EE"/>
          <w:p w:rsidR="006F07EE" w:rsidRDefault="006F07EE" w:rsidP="006F07EE">
            <w:r w:rsidRPr="006F07EE">
              <w:rPr>
                <w:rFonts w:cs="Arial"/>
                <w:szCs w:val="24"/>
                <w:vertAlign w:val="superscript"/>
              </w:rPr>
              <w:lastRenderedPageBreak/>
              <w:t>8</w:t>
            </w:r>
            <w:r w:rsidRPr="006F07EE">
              <w:rPr>
                <w:rFonts w:cs="Arial"/>
                <w:szCs w:val="24"/>
              </w:rPr>
              <w:t xml:space="preserve"> D’éventuelles contestations relatives à la vidéosurveillance peuvent être adressées au Service juridique, conformément à la législation relative à la protection des données.</w:t>
            </w:r>
          </w:p>
          <w:p w:rsidR="006F07EE" w:rsidRPr="006F07EE" w:rsidRDefault="006F07EE" w:rsidP="006F07EE"/>
          <w:p w:rsidR="006F07EE" w:rsidRPr="006F07EE" w:rsidRDefault="006F07EE" w:rsidP="006F07EE"/>
        </w:tc>
      </w:tr>
      <w:tr w:rsidR="00F01A0E" w:rsidRPr="001F417E" w:rsidTr="00D03E8C">
        <w:trPr>
          <w:trHeight w:val="133"/>
        </w:trPr>
        <w:tc>
          <w:tcPr>
            <w:tcW w:w="1531" w:type="dxa"/>
          </w:tcPr>
          <w:p w:rsidR="00F01A0E" w:rsidRPr="006F07EE" w:rsidRDefault="00F01A0E" w:rsidP="006F07EE">
            <w:pPr>
              <w:jc w:val="left"/>
              <w:rPr>
                <w:sz w:val="18"/>
                <w:szCs w:val="18"/>
              </w:rPr>
            </w:pPr>
          </w:p>
        </w:tc>
        <w:tc>
          <w:tcPr>
            <w:tcW w:w="8462" w:type="dxa"/>
          </w:tcPr>
          <w:p w:rsidR="006F07EE" w:rsidRDefault="006F07EE" w:rsidP="006F07EE">
            <w:pPr>
              <w:rPr>
                <w:bCs/>
              </w:rPr>
            </w:pPr>
            <w:r>
              <w:rPr>
                <w:b/>
                <w:bCs/>
              </w:rPr>
              <w:t>II.</w:t>
            </w:r>
          </w:p>
          <w:p w:rsidR="006F07EE" w:rsidRPr="006F07EE" w:rsidRDefault="006F07EE" w:rsidP="006F07EE">
            <w:pPr>
              <w:rPr>
                <w:bCs/>
              </w:rPr>
            </w:pPr>
          </w:p>
        </w:tc>
      </w:tr>
      <w:tr w:rsidR="006F07EE" w:rsidRPr="001F417E" w:rsidTr="00D03E8C">
        <w:tc>
          <w:tcPr>
            <w:tcW w:w="1531" w:type="dxa"/>
          </w:tcPr>
          <w:p w:rsidR="006F07EE" w:rsidRPr="006F07EE" w:rsidRDefault="006F07EE" w:rsidP="006F07EE">
            <w:pPr>
              <w:jc w:val="left"/>
              <w:rPr>
                <w:sz w:val="18"/>
                <w:szCs w:val="18"/>
              </w:rPr>
            </w:pPr>
          </w:p>
        </w:tc>
        <w:tc>
          <w:tcPr>
            <w:tcW w:w="8462" w:type="dxa"/>
          </w:tcPr>
          <w:p w:rsidR="006F07EE" w:rsidRDefault="006F07EE" w:rsidP="006F07EE">
            <w:r w:rsidRPr="001E446F">
              <w:rPr>
                <w:vertAlign w:val="superscript"/>
              </w:rPr>
              <w:t>1</w:t>
            </w:r>
            <w:r w:rsidRPr="001E446F">
              <w:t xml:space="preserve"> La présente modification est soumise au référendum facultatif</w:t>
            </w:r>
            <w:r>
              <w:t>.</w:t>
            </w:r>
          </w:p>
          <w:p w:rsidR="006F07EE" w:rsidRDefault="006F07EE" w:rsidP="006F07EE"/>
          <w:p w:rsidR="006F07EE" w:rsidRDefault="006F07EE" w:rsidP="006F07EE">
            <w:pPr>
              <w:rPr>
                <w:color w:val="000000"/>
                <w:kern w:val="28"/>
              </w:rPr>
            </w:pPr>
            <w:r w:rsidRPr="003218F0">
              <w:rPr>
                <w:color w:val="000000"/>
                <w:kern w:val="28"/>
                <w:vertAlign w:val="superscript"/>
              </w:rPr>
              <w:t>2</w:t>
            </w:r>
            <w:r w:rsidRPr="003218F0">
              <w:rPr>
                <w:color w:val="000000"/>
                <w:kern w:val="28"/>
              </w:rPr>
              <w:t xml:space="preserve"> Le Gouvernement fixe l'entrée en vigueur de la présente modification.</w:t>
            </w:r>
          </w:p>
          <w:p w:rsidR="006F07EE" w:rsidRDefault="006F07EE" w:rsidP="006F07EE">
            <w:pPr>
              <w:rPr>
                <w:color w:val="000000"/>
                <w:kern w:val="28"/>
              </w:rPr>
            </w:pPr>
          </w:p>
          <w:p w:rsidR="006F07EE" w:rsidRPr="006F07EE" w:rsidRDefault="006F07EE" w:rsidP="006F07EE">
            <w:pPr>
              <w:rPr>
                <w:rFonts w:cs="Arial"/>
                <w:szCs w:val="24"/>
              </w:rPr>
            </w:pPr>
          </w:p>
        </w:tc>
      </w:tr>
      <w:tr w:rsidR="006F07EE" w:rsidRPr="001F417E" w:rsidTr="00D03E8C">
        <w:tc>
          <w:tcPr>
            <w:tcW w:w="1531" w:type="dxa"/>
          </w:tcPr>
          <w:p w:rsidR="006F07EE" w:rsidRPr="006F07EE" w:rsidRDefault="006F07EE" w:rsidP="006F07EE">
            <w:pPr>
              <w:jc w:val="left"/>
              <w:rPr>
                <w:sz w:val="18"/>
                <w:szCs w:val="18"/>
              </w:rPr>
            </w:pPr>
          </w:p>
        </w:tc>
        <w:tc>
          <w:tcPr>
            <w:tcW w:w="8462" w:type="dxa"/>
          </w:tcPr>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tabs>
                <w:tab w:val="center" w:pos="3603"/>
                <w:tab w:val="center" w:pos="6153"/>
              </w:tabs>
              <w:rPr>
                <w:rFonts w:cs="Arial"/>
                <w:szCs w:val="24"/>
              </w:rPr>
            </w:pPr>
            <w:r>
              <w:rPr>
                <w:rFonts w:cs="Arial"/>
                <w:szCs w:val="24"/>
              </w:rPr>
              <w:tab/>
              <w:t>Le président :</w:t>
            </w:r>
            <w:r>
              <w:rPr>
                <w:rFonts w:cs="Arial"/>
                <w:szCs w:val="24"/>
              </w:rPr>
              <w:tab/>
              <w:t>Le secrétaire :</w:t>
            </w:r>
          </w:p>
          <w:p w:rsidR="006F07EE" w:rsidRDefault="006F07EE" w:rsidP="006F07EE">
            <w:pPr>
              <w:tabs>
                <w:tab w:val="center" w:pos="3603"/>
                <w:tab w:val="center" w:pos="6153"/>
              </w:tabs>
              <w:rPr>
                <w:rFonts w:cs="Arial"/>
                <w:szCs w:val="24"/>
              </w:rPr>
            </w:pPr>
            <w:r>
              <w:rPr>
                <w:rFonts w:cs="Arial"/>
                <w:szCs w:val="24"/>
              </w:rPr>
              <w:tab/>
              <w:t>Gabriel Willemin</w:t>
            </w:r>
            <w:r>
              <w:rPr>
                <w:rFonts w:cs="Arial"/>
                <w:szCs w:val="24"/>
              </w:rPr>
              <w:tab/>
              <w:t>Jean-Baptiste Maître</w:t>
            </w:r>
          </w:p>
          <w:p w:rsidR="006F07EE" w:rsidRDefault="006F07EE" w:rsidP="006F07EE">
            <w:pPr>
              <w:tabs>
                <w:tab w:val="center" w:pos="3603"/>
                <w:tab w:val="center" w:pos="6153"/>
              </w:tabs>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Default="006F07EE" w:rsidP="006F07EE">
            <w:pPr>
              <w:rPr>
                <w:rFonts w:cs="Arial"/>
                <w:szCs w:val="24"/>
              </w:rPr>
            </w:pPr>
          </w:p>
          <w:p w:rsidR="006F07EE" w:rsidRPr="006F07EE" w:rsidRDefault="006F07EE" w:rsidP="006F07EE">
            <w:pPr>
              <w:rPr>
                <w:rFonts w:cs="Arial"/>
                <w:szCs w:val="24"/>
              </w:rPr>
            </w:pPr>
          </w:p>
        </w:tc>
      </w:tr>
      <w:tr w:rsidR="002A5472" w:rsidRPr="006F07EE" w:rsidTr="00D03E8C">
        <w:trPr>
          <w:trHeight w:val="133"/>
        </w:trPr>
        <w:tc>
          <w:tcPr>
            <w:tcW w:w="1531" w:type="dxa"/>
          </w:tcPr>
          <w:p w:rsidR="002A5472" w:rsidRPr="006F07EE" w:rsidRDefault="002A5472" w:rsidP="00D03E8C">
            <w:pPr>
              <w:pStyle w:val="RSJUtitmarg"/>
              <w:snapToGrid w:val="0"/>
              <w:rPr>
                <w:b/>
                <w:szCs w:val="18"/>
              </w:rPr>
            </w:pPr>
          </w:p>
        </w:tc>
        <w:tc>
          <w:tcPr>
            <w:tcW w:w="8462" w:type="dxa"/>
          </w:tcPr>
          <w:p w:rsidR="00C668B8" w:rsidRPr="006F07EE" w:rsidRDefault="00C668B8" w:rsidP="00C668B8">
            <w:pPr>
              <w:pStyle w:val="RSJUnotefin"/>
              <w:tabs>
                <w:tab w:val="clear" w:pos="258"/>
                <w:tab w:val="left" w:pos="301"/>
              </w:tabs>
              <w:rPr>
                <w:sz w:val="18"/>
                <w:szCs w:val="18"/>
              </w:rPr>
            </w:pPr>
            <w:bookmarkStart w:id="1" w:name="A1"/>
            <w:bookmarkEnd w:id="1"/>
          </w:p>
          <w:p w:rsidR="002A5472" w:rsidRPr="006F07EE" w:rsidRDefault="006F07EE" w:rsidP="006F07EE">
            <w:pPr>
              <w:pStyle w:val="RSJUnotefin"/>
              <w:tabs>
                <w:tab w:val="clear" w:pos="258"/>
                <w:tab w:val="left" w:pos="301"/>
              </w:tabs>
              <w:ind w:left="0" w:firstLine="0"/>
              <w:rPr>
                <w:sz w:val="18"/>
                <w:szCs w:val="18"/>
              </w:rPr>
            </w:pPr>
            <w:r w:rsidRPr="006F07EE">
              <w:rPr>
                <w:sz w:val="18"/>
                <w:szCs w:val="18"/>
                <w:vertAlign w:val="superscript"/>
              </w:rPr>
              <w:t>1)</w:t>
            </w:r>
            <w:r w:rsidRPr="006F07EE">
              <w:rPr>
                <w:sz w:val="18"/>
                <w:szCs w:val="18"/>
              </w:rPr>
              <w:t xml:space="preserve">  RSJU 342.1</w:t>
            </w:r>
            <w:bookmarkStart w:id="2" w:name="A2"/>
            <w:bookmarkEnd w:id="2"/>
          </w:p>
        </w:tc>
      </w:tr>
    </w:tbl>
    <w:p w:rsidR="001F417E" w:rsidRDefault="001F417E" w:rsidP="001F417E">
      <w:pPr>
        <w:pStyle w:val="RSJUTitTM"/>
      </w:pPr>
    </w:p>
    <w:sectPr w:rsidR="001F417E">
      <w:headerReference w:type="even" r:id="rId7"/>
      <w:headerReference w:type="default" r:id="rId8"/>
      <w:footerReference w:type="even" r:id="rId9"/>
      <w:footerReference w:type="default" r:id="rId10"/>
      <w:footnotePr>
        <w:numRestart w:val="eachPage"/>
      </w:footnotePr>
      <w:endnotePr>
        <w:numFmt w:val="decimal"/>
      </w:endnotePr>
      <w:pgSz w:w="11906" w:h="16838" w:code="9"/>
      <w:pgMar w:top="1831" w:right="680" w:bottom="1701" w:left="1378" w:header="130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6B" w:rsidRDefault="00974C6B" w:rsidP="00D03E8C">
      <w:pPr>
        <w:pStyle w:val="RSJUarticle"/>
      </w:pPr>
      <w:r>
        <w:separator/>
      </w:r>
    </w:p>
  </w:endnote>
  <w:endnote w:type="continuationSeparator" w:id="0">
    <w:p w:rsidR="00974C6B" w:rsidRDefault="00974C6B" w:rsidP="00D03E8C">
      <w:pPr>
        <w:pStyle w:val="RSJUartic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A0" w:rsidRDefault="00867CA0">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A0" w:rsidRDefault="00867CA0">
    <w:pPr>
      <w:pStyle w:val="RSJUbaspage"/>
    </w:pPr>
    <w:r>
      <w:tab/>
    </w:r>
    <w:r>
      <w:rPr>
        <w:rStyle w:val="Numrodepage"/>
      </w:rPr>
      <w:fldChar w:fldCharType="begin"/>
    </w:r>
    <w:r>
      <w:rPr>
        <w:rStyle w:val="Numrodepage"/>
      </w:rPr>
      <w:instrText xml:space="preserve"> PAGE </w:instrText>
    </w:r>
    <w:r>
      <w:rPr>
        <w:rStyle w:val="Numrodepage"/>
      </w:rPr>
      <w:fldChar w:fldCharType="separate"/>
    </w:r>
    <w:r w:rsidR="00B20C2F">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6B" w:rsidRDefault="00974C6B"/>
  </w:footnote>
  <w:footnote w:type="continuationSeparator" w:id="0">
    <w:p w:rsidR="00974C6B" w:rsidRDefault="00974C6B">
      <w:pPr>
        <w:pStyle w:val="Pied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A0" w:rsidRDefault="00867CA0">
    <w:pPr>
      <w:pStyle w:val="En-tte"/>
      <w:tabs>
        <w:tab w:val="clear" w:pos="4536"/>
        <w:tab w:val="clear" w:pos="9072"/>
      </w:tabs>
      <w:ind w:left="1560"/>
    </w:pPr>
    <w:r>
      <w:t>175.1</w:t>
    </w:r>
  </w:p>
  <w:p w:rsidR="00867CA0" w:rsidRDefault="00867CA0">
    <w:pPr>
      <w:pStyle w:val="En-tte"/>
      <w:pBdr>
        <w:top w:val="single" w:sz="4" w:space="1" w:color="auto"/>
      </w:pBdr>
      <w:tabs>
        <w:tab w:val="clear" w:pos="4536"/>
        <w:tab w:val="clear" w:pos="9072"/>
      </w:tabs>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A0" w:rsidRDefault="006912E6">
    <w:pPr>
      <w:pStyle w:val="RSJUEntete"/>
    </w:pPr>
    <w:r>
      <w:tab/>
      <w:t>342.</w:t>
    </w:r>
    <w:r w:rsidR="00867CA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E12BD8C"/>
    <w:lvl w:ilvl="0">
      <w:start w:val="1"/>
      <w:numFmt w:val="decimal"/>
      <w:pStyle w:val="RSJUlistenum"/>
      <w:lvlText w:val="%1."/>
      <w:lvlJc w:val="left"/>
      <w:pPr>
        <w:tabs>
          <w:tab w:val="num" w:pos="360"/>
        </w:tabs>
        <w:ind w:left="360" w:hanging="360"/>
      </w:pPr>
      <w:rPr>
        <w:rFonts w:hint="default"/>
      </w:rPr>
    </w:lvl>
  </w:abstractNum>
  <w:abstractNum w:abstractNumId="1">
    <w:nsid w:val="00000003"/>
    <w:multiLevelType w:val="multilevel"/>
    <w:tmpl w:val="BB006F64"/>
    <w:name w:val="WW8Num3"/>
    <w:lvl w:ilvl="0">
      <w:start w:val="1"/>
      <w:numFmt w:val="lowerLetter"/>
      <w:lvlText w:val="%1)"/>
      <w:lvlJc w:val="left"/>
      <w:pPr>
        <w:tabs>
          <w:tab w:val="num" w:pos="360"/>
        </w:tabs>
        <w:ind w:left="360" w:hanging="360"/>
      </w:pPr>
      <w:rPr>
        <w:i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ascii="Arial" w:hAnsi="Arial" w:cs="Times New Roman"/>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multilevel"/>
    <w:tmpl w:val="00000006"/>
    <w:name w:val="WW8Num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8Num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name w:val="WW8Num9"/>
    <w:lvl w:ilvl="0">
      <w:start w:val="1"/>
      <w:numFmt w:val="lowerLetter"/>
      <w:lvlText w:val="%1)"/>
      <w:lvlJc w:val="left"/>
      <w:pPr>
        <w:tabs>
          <w:tab w:val="num" w:pos="360"/>
        </w:tabs>
        <w:ind w:left="360" w:hanging="360"/>
      </w:pPr>
      <w:rPr>
        <w:rFonts w:ascii="Arial" w:hAnsi="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name w:val="WW8Num1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name w:val="WW8Num1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multilevel"/>
    <w:tmpl w:val="0000000D"/>
    <w:name w:val="WW8Num1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name w:val="WW8Num1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multilevel"/>
    <w:tmpl w:val="00000010"/>
    <w:name w:val="WW8Num1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2CE41E9"/>
    <w:multiLevelType w:val="multilevel"/>
    <w:tmpl w:val="C84CC1C2"/>
    <w:lvl w:ilvl="0">
      <w:start w:val="1"/>
      <w:numFmt w:val="lowerLetter"/>
      <w:pStyle w:val="RSJUlistelettre"/>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D8139C7"/>
    <w:multiLevelType w:val="hybridMultilevel"/>
    <w:tmpl w:val="874E63EE"/>
    <w:lvl w:ilvl="0" w:tplc="8DDA5A24">
      <w:start w:val="1"/>
      <w:numFmt w:val="bullet"/>
      <w:pStyle w:val="RSJUlistepuce"/>
      <w:lvlText w:val=""/>
      <w:lvlJc w:val="left"/>
      <w:pPr>
        <w:tabs>
          <w:tab w:val="num" w:pos="360"/>
        </w:tabs>
        <w:ind w:left="360" w:hanging="360"/>
      </w:pPr>
      <w:rPr>
        <w:rFonts w:ascii="Symbol" w:hAnsi="Symbol" w:hint="default"/>
      </w:rPr>
    </w:lvl>
    <w:lvl w:ilvl="1" w:tplc="9768F264" w:tentative="1">
      <w:start w:val="1"/>
      <w:numFmt w:val="bullet"/>
      <w:lvlText w:val="o"/>
      <w:lvlJc w:val="left"/>
      <w:pPr>
        <w:tabs>
          <w:tab w:val="num" w:pos="1440"/>
        </w:tabs>
        <w:ind w:left="1440" w:hanging="360"/>
      </w:pPr>
      <w:rPr>
        <w:rFonts w:ascii="Courier New" w:hAnsi="Courier New" w:hint="default"/>
      </w:rPr>
    </w:lvl>
    <w:lvl w:ilvl="2" w:tplc="7AFE0128" w:tentative="1">
      <w:start w:val="1"/>
      <w:numFmt w:val="bullet"/>
      <w:lvlText w:val=""/>
      <w:lvlJc w:val="left"/>
      <w:pPr>
        <w:tabs>
          <w:tab w:val="num" w:pos="2160"/>
        </w:tabs>
        <w:ind w:left="2160" w:hanging="360"/>
      </w:pPr>
      <w:rPr>
        <w:rFonts w:ascii="Wingdings" w:hAnsi="Wingdings" w:hint="default"/>
      </w:rPr>
    </w:lvl>
    <w:lvl w:ilvl="3" w:tplc="BC7EA50A" w:tentative="1">
      <w:start w:val="1"/>
      <w:numFmt w:val="bullet"/>
      <w:lvlText w:val=""/>
      <w:lvlJc w:val="left"/>
      <w:pPr>
        <w:tabs>
          <w:tab w:val="num" w:pos="2880"/>
        </w:tabs>
        <w:ind w:left="2880" w:hanging="360"/>
      </w:pPr>
      <w:rPr>
        <w:rFonts w:ascii="Symbol" w:hAnsi="Symbol" w:hint="default"/>
      </w:rPr>
    </w:lvl>
    <w:lvl w:ilvl="4" w:tplc="03B0B014" w:tentative="1">
      <w:start w:val="1"/>
      <w:numFmt w:val="bullet"/>
      <w:lvlText w:val="o"/>
      <w:lvlJc w:val="left"/>
      <w:pPr>
        <w:tabs>
          <w:tab w:val="num" w:pos="3600"/>
        </w:tabs>
        <w:ind w:left="3600" w:hanging="360"/>
      </w:pPr>
      <w:rPr>
        <w:rFonts w:ascii="Courier New" w:hAnsi="Courier New" w:hint="default"/>
      </w:rPr>
    </w:lvl>
    <w:lvl w:ilvl="5" w:tplc="7DC0CB72" w:tentative="1">
      <w:start w:val="1"/>
      <w:numFmt w:val="bullet"/>
      <w:lvlText w:val=""/>
      <w:lvlJc w:val="left"/>
      <w:pPr>
        <w:tabs>
          <w:tab w:val="num" w:pos="4320"/>
        </w:tabs>
        <w:ind w:left="4320" w:hanging="360"/>
      </w:pPr>
      <w:rPr>
        <w:rFonts w:ascii="Wingdings" w:hAnsi="Wingdings" w:hint="default"/>
      </w:rPr>
    </w:lvl>
    <w:lvl w:ilvl="6" w:tplc="7A80F5BE" w:tentative="1">
      <w:start w:val="1"/>
      <w:numFmt w:val="bullet"/>
      <w:lvlText w:val=""/>
      <w:lvlJc w:val="left"/>
      <w:pPr>
        <w:tabs>
          <w:tab w:val="num" w:pos="5040"/>
        </w:tabs>
        <w:ind w:left="5040" w:hanging="360"/>
      </w:pPr>
      <w:rPr>
        <w:rFonts w:ascii="Symbol" w:hAnsi="Symbol" w:hint="default"/>
      </w:rPr>
    </w:lvl>
    <w:lvl w:ilvl="7" w:tplc="41EC845E" w:tentative="1">
      <w:start w:val="1"/>
      <w:numFmt w:val="bullet"/>
      <w:lvlText w:val="o"/>
      <w:lvlJc w:val="left"/>
      <w:pPr>
        <w:tabs>
          <w:tab w:val="num" w:pos="5760"/>
        </w:tabs>
        <w:ind w:left="5760" w:hanging="360"/>
      </w:pPr>
      <w:rPr>
        <w:rFonts w:ascii="Courier New" w:hAnsi="Courier New" w:hint="default"/>
      </w:rPr>
    </w:lvl>
    <w:lvl w:ilvl="8" w:tplc="936AEB02" w:tentative="1">
      <w:start w:val="1"/>
      <w:numFmt w:val="bullet"/>
      <w:lvlText w:val=""/>
      <w:lvlJc w:val="left"/>
      <w:pPr>
        <w:tabs>
          <w:tab w:val="num" w:pos="6480"/>
        </w:tabs>
        <w:ind w:left="6480" w:hanging="360"/>
      </w:pPr>
      <w:rPr>
        <w:rFonts w:ascii="Wingdings" w:hAnsi="Wingdings" w:hint="default"/>
      </w:rPr>
    </w:lvl>
  </w:abstractNum>
  <w:abstractNum w:abstractNumId="17">
    <w:nsid w:val="4E752045"/>
    <w:multiLevelType w:val="hybridMultilevel"/>
    <w:tmpl w:val="B3FEAD02"/>
    <w:lvl w:ilvl="0" w:tplc="F83244AA">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6A5EFE"/>
    <w:multiLevelType w:val="hybridMultilevel"/>
    <w:tmpl w:val="8F9CEEDE"/>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64235E05"/>
    <w:multiLevelType w:val="singleLevel"/>
    <w:tmpl w:val="AACA7930"/>
    <w:lvl w:ilvl="0">
      <w:start w:val="1"/>
      <w:numFmt w:val="bullet"/>
      <w:pStyle w:val="Listepuces"/>
      <w:lvlText w:val=""/>
      <w:lvlJc w:val="left"/>
      <w:pPr>
        <w:tabs>
          <w:tab w:val="num" w:pos="360"/>
        </w:tabs>
        <w:ind w:left="360" w:hanging="360"/>
      </w:pPr>
      <w:rPr>
        <w:rFonts w:ascii="Symbol" w:hAnsi="Symbol" w:hint="default"/>
      </w:rPr>
    </w:lvl>
  </w:abstractNum>
  <w:abstractNum w:abstractNumId="20">
    <w:nsid w:val="71F62FF1"/>
    <w:multiLevelType w:val="hybridMultilevel"/>
    <w:tmpl w:val="AD08B8B8"/>
    <w:lvl w:ilvl="0" w:tplc="D18097DE">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9"/>
  </w:num>
  <w:num w:numId="5">
    <w:abstractNumId w:val="5"/>
  </w:num>
  <w:num w:numId="6">
    <w:abstractNumId w:val="1"/>
  </w:num>
  <w:num w:numId="7">
    <w:abstractNumId w:val="2"/>
  </w:num>
  <w:num w:numId="8">
    <w:abstractNumId w:val="3"/>
  </w:num>
  <w:num w:numId="9">
    <w:abstractNumId w:val="4"/>
  </w:num>
  <w:num w:numId="10">
    <w:abstractNumId w:val="14"/>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7"/>
  </w:num>
  <w:num w:numId="21">
    <w:abstractNumId w:val="16"/>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E"/>
    <w:rsid w:val="00023443"/>
    <w:rsid w:val="00035B60"/>
    <w:rsid w:val="00084E7E"/>
    <w:rsid w:val="000A334E"/>
    <w:rsid w:val="000C4AAB"/>
    <w:rsid w:val="000D52EB"/>
    <w:rsid w:val="001024E7"/>
    <w:rsid w:val="0011053E"/>
    <w:rsid w:val="0011338D"/>
    <w:rsid w:val="00163B17"/>
    <w:rsid w:val="00176404"/>
    <w:rsid w:val="001E1E5B"/>
    <w:rsid w:val="001E446F"/>
    <w:rsid w:val="001E690E"/>
    <w:rsid w:val="001F1174"/>
    <w:rsid w:val="001F417E"/>
    <w:rsid w:val="002021FB"/>
    <w:rsid w:val="002100F6"/>
    <w:rsid w:val="00210CD5"/>
    <w:rsid w:val="002218AE"/>
    <w:rsid w:val="00273140"/>
    <w:rsid w:val="00285EDE"/>
    <w:rsid w:val="002A5472"/>
    <w:rsid w:val="002C5263"/>
    <w:rsid w:val="002E0BDF"/>
    <w:rsid w:val="002E7335"/>
    <w:rsid w:val="002F77FA"/>
    <w:rsid w:val="0030792E"/>
    <w:rsid w:val="003218F0"/>
    <w:rsid w:val="003229D8"/>
    <w:rsid w:val="00335677"/>
    <w:rsid w:val="00355371"/>
    <w:rsid w:val="003A42CE"/>
    <w:rsid w:val="003A5244"/>
    <w:rsid w:val="003C7070"/>
    <w:rsid w:val="003D4A4C"/>
    <w:rsid w:val="003D5200"/>
    <w:rsid w:val="00411421"/>
    <w:rsid w:val="00477783"/>
    <w:rsid w:val="004805FE"/>
    <w:rsid w:val="004C79B0"/>
    <w:rsid w:val="004E0E51"/>
    <w:rsid w:val="004E397E"/>
    <w:rsid w:val="005002FE"/>
    <w:rsid w:val="00535FF9"/>
    <w:rsid w:val="00557B11"/>
    <w:rsid w:val="005972FA"/>
    <w:rsid w:val="005D3B55"/>
    <w:rsid w:val="005F38DE"/>
    <w:rsid w:val="0061224F"/>
    <w:rsid w:val="0061409A"/>
    <w:rsid w:val="006224FF"/>
    <w:rsid w:val="00643E35"/>
    <w:rsid w:val="0064728A"/>
    <w:rsid w:val="00650D97"/>
    <w:rsid w:val="006770D1"/>
    <w:rsid w:val="006912E6"/>
    <w:rsid w:val="006A5BB5"/>
    <w:rsid w:val="006A7442"/>
    <w:rsid w:val="006B6CBA"/>
    <w:rsid w:val="006D0106"/>
    <w:rsid w:val="006D6560"/>
    <w:rsid w:val="006D710B"/>
    <w:rsid w:val="006E2D8F"/>
    <w:rsid w:val="006F07EE"/>
    <w:rsid w:val="00715061"/>
    <w:rsid w:val="00737603"/>
    <w:rsid w:val="00743E3D"/>
    <w:rsid w:val="00771F98"/>
    <w:rsid w:val="00775F80"/>
    <w:rsid w:val="007C7874"/>
    <w:rsid w:val="007E405C"/>
    <w:rsid w:val="007F2284"/>
    <w:rsid w:val="007F2657"/>
    <w:rsid w:val="00812C0E"/>
    <w:rsid w:val="0082046A"/>
    <w:rsid w:val="00827359"/>
    <w:rsid w:val="00867CA0"/>
    <w:rsid w:val="00887EA6"/>
    <w:rsid w:val="008B362E"/>
    <w:rsid w:val="008E0A2D"/>
    <w:rsid w:val="00924D5B"/>
    <w:rsid w:val="00935AF0"/>
    <w:rsid w:val="00974C6B"/>
    <w:rsid w:val="009A5EF3"/>
    <w:rsid w:val="009F3EC7"/>
    <w:rsid w:val="009F5B6E"/>
    <w:rsid w:val="00A14616"/>
    <w:rsid w:val="00A213DA"/>
    <w:rsid w:val="00A24F7E"/>
    <w:rsid w:val="00A478E8"/>
    <w:rsid w:val="00A57DD0"/>
    <w:rsid w:val="00A61C4F"/>
    <w:rsid w:val="00AB2438"/>
    <w:rsid w:val="00AD6831"/>
    <w:rsid w:val="00B007FF"/>
    <w:rsid w:val="00B20C2F"/>
    <w:rsid w:val="00B221DA"/>
    <w:rsid w:val="00B2431C"/>
    <w:rsid w:val="00B3021C"/>
    <w:rsid w:val="00B310CD"/>
    <w:rsid w:val="00B517A3"/>
    <w:rsid w:val="00B80FF3"/>
    <w:rsid w:val="00BA6077"/>
    <w:rsid w:val="00C04B9C"/>
    <w:rsid w:val="00C2465D"/>
    <w:rsid w:val="00C668B8"/>
    <w:rsid w:val="00C86BBF"/>
    <w:rsid w:val="00C90831"/>
    <w:rsid w:val="00CA3D32"/>
    <w:rsid w:val="00CC0E3D"/>
    <w:rsid w:val="00CD7CDE"/>
    <w:rsid w:val="00CD7F18"/>
    <w:rsid w:val="00CE3AD4"/>
    <w:rsid w:val="00D03E8C"/>
    <w:rsid w:val="00D067AB"/>
    <w:rsid w:val="00D07319"/>
    <w:rsid w:val="00D07CBB"/>
    <w:rsid w:val="00D34FA1"/>
    <w:rsid w:val="00DA6799"/>
    <w:rsid w:val="00DD0706"/>
    <w:rsid w:val="00E12E79"/>
    <w:rsid w:val="00E243D7"/>
    <w:rsid w:val="00E36DE3"/>
    <w:rsid w:val="00E51F5A"/>
    <w:rsid w:val="00E77E59"/>
    <w:rsid w:val="00E85F33"/>
    <w:rsid w:val="00EA144C"/>
    <w:rsid w:val="00EB0D50"/>
    <w:rsid w:val="00EC38D8"/>
    <w:rsid w:val="00ED50E7"/>
    <w:rsid w:val="00EE6E47"/>
    <w:rsid w:val="00EF363E"/>
    <w:rsid w:val="00F01A0E"/>
    <w:rsid w:val="00F02F3F"/>
    <w:rsid w:val="00F14366"/>
    <w:rsid w:val="00F15BD3"/>
    <w:rsid w:val="00F36827"/>
    <w:rsid w:val="00F56A0D"/>
    <w:rsid w:val="00F6465A"/>
    <w:rsid w:val="00F71EDA"/>
    <w:rsid w:val="00F733B6"/>
    <w:rsid w:val="00F768C5"/>
    <w:rsid w:val="00F825C2"/>
    <w:rsid w:val="00FB4D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483B343C-97FE-48C4-8819-531D92B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fr-FR" w:eastAsia="fr-FR"/>
    </w:rPr>
  </w:style>
  <w:style w:type="paragraph" w:styleId="Titre1">
    <w:name w:val="heading 1"/>
    <w:basedOn w:val="Normal"/>
    <w:next w:val="Normal"/>
    <w:qFormat/>
    <w:pPr>
      <w:keepNext/>
      <w:keepLines/>
      <w:framePr w:hSpace="142" w:vSpace="142" w:wrap="around" w:vAnchor="text" w:hAnchor="text" w:y="1"/>
      <w:spacing w:before="240" w:after="120"/>
      <w:outlineLvl w:val="0"/>
    </w:pPr>
    <w:rPr>
      <w:b/>
      <w:color w:val="000000"/>
      <w:kern w:val="28"/>
      <w:lang w:val="fr-CH"/>
    </w:rPr>
  </w:style>
  <w:style w:type="paragraph" w:styleId="Titre2">
    <w:name w:val="heading 2"/>
    <w:basedOn w:val="Normal"/>
    <w:next w:val="Normal"/>
    <w:qFormat/>
    <w:pPr>
      <w:outlineLvl w:val="1"/>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right" w:pos="9072"/>
      </w:tabs>
    </w:pPr>
  </w:style>
  <w:style w:type="character" w:styleId="Numrodepage">
    <w:name w:val="page number"/>
    <w:rPr>
      <w:rFonts w:ascii="Arial" w:hAnsi="Arial"/>
    </w:rPr>
  </w:style>
  <w:style w:type="character" w:styleId="Appelnotedebasdep">
    <w:name w:val="footnote reference"/>
    <w:semiHidden/>
    <w:rPr>
      <w:rFonts w:ascii="Arial" w:hAnsi="Arial"/>
      <w:vertAlign w:val="superscript"/>
    </w:rPr>
  </w:style>
  <w:style w:type="paragraph" w:styleId="Notedebasdepage">
    <w:name w:val="footnote text"/>
    <w:basedOn w:val="Normal"/>
    <w:semiHidden/>
    <w:pPr>
      <w:widowControl w:val="0"/>
      <w:ind w:left="2269" w:hanging="284"/>
    </w:pPr>
    <w:rPr>
      <w:rFonts w:ascii="Arial (W1)" w:hAnsi="Arial (W1)"/>
      <w:spacing w:val="-2"/>
      <w:sz w:val="20"/>
    </w:rPr>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customStyle="1" w:styleId="RSJUdateloi">
    <w:name w:val="RSJU_date_loi"/>
    <w:basedOn w:val="Normal"/>
    <w:pPr>
      <w:spacing w:before="240" w:after="600"/>
    </w:pPr>
    <w:rPr>
      <w:lang w:val="fr-CH"/>
    </w:rPr>
  </w:style>
  <w:style w:type="paragraph" w:customStyle="1" w:styleId="RSJUarticle">
    <w:name w:val="RSJU_article"/>
    <w:basedOn w:val="Normal"/>
    <w:link w:val="RSJUarticleCar"/>
    <w:autoRedefine/>
    <w:pPr>
      <w:keepNext/>
      <w:suppressAutoHyphens/>
      <w:spacing w:before="360" w:after="120"/>
    </w:pPr>
  </w:style>
  <w:style w:type="paragraph" w:customStyle="1" w:styleId="RSJUtitloi">
    <w:name w:val="RSJU_tit_loi"/>
    <w:basedOn w:val="Normal"/>
    <w:link w:val="RSJUtitloiCar"/>
    <w:pPr>
      <w:keepNext/>
      <w:keepLines/>
      <w:framePr w:hSpace="142" w:vSpace="142" w:wrap="around" w:vAnchor="text" w:hAnchor="text" w:y="1"/>
      <w:spacing w:before="240" w:after="120"/>
      <w:outlineLvl w:val="0"/>
    </w:pPr>
    <w:rPr>
      <w:b/>
      <w:color w:val="000000"/>
      <w:sz w:val="28"/>
      <w:lang w:val="fr-CH"/>
    </w:rPr>
  </w:style>
  <w:style w:type="paragraph" w:customStyle="1" w:styleId="RSJUtitcourt">
    <w:name w:val="RSJU_tit_court"/>
    <w:basedOn w:val="Normal"/>
    <w:pPr>
      <w:keepNext/>
      <w:keepLines/>
      <w:framePr w:hSpace="142" w:vSpace="142" w:wrap="around" w:vAnchor="text" w:hAnchor="text" w:y="1"/>
      <w:spacing w:before="240" w:after="120"/>
      <w:jc w:val="left"/>
      <w:outlineLvl w:val="0"/>
    </w:pPr>
    <w:rPr>
      <w:b/>
      <w:color w:val="000000"/>
      <w:kern w:val="28"/>
      <w:lang w:val="fr-CH"/>
    </w:rPr>
  </w:style>
  <w:style w:type="paragraph" w:customStyle="1" w:styleId="RSJUtitabrev">
    <w:name w:val="RSJU_tit_abrev"/>
    <w:basedOn w:val="Normal"/>
    <w:pPr>
      <w:keepNext/>
      <w:keepLines/>
      <w:framePr w:hSpace="142" w:vSpace="142" w:wrap="around" w:vAnchor="text" w:hAnchor="text" w:y="1"/>
      <w:spacing w:before="240" w:after="120"/>
      <w:jc w:val="left"/>
      <w:outlineLvl w:val="0"/>
    </w:pPr>
    <w:rPr>
      <w:b/>
      <w:color w:val="000000"/>
      <w:kern w:val="28"/>
      <w:lang w:val="fr-CH"/>
    </w:rPr>
  </w:style>
  <w:style w:type="paragraph" w:customStyle="1" w:styleId="RSJUorgdecis">
    <w:name w:val="RSJU_org_decis"/>
    <w:basedOn w:val="Normal"/>
    <w:link w:val="RSJUorgdecisCar"/>
    <w:pPr>
      <w:spacing w:after="240"/>
    </w:pPr>
    <w:rPr>
      <w:i/>
      <w:lang w:val="fr-CH"/>
    </w:rPr>
  </w:style>
  <w:style w:type="paragraph" w:customStyle="1" w:styleId="RSJUrefdecis">
    <w:name w:val="RSJU_ref_decis"/>
    <w:basedOn w:val="Normal"/>
    <w:link w:val="RSJUrefdecisCar"/>
    <w:pPr>
      <w:spacing w:after="240"/>
    </w:pPr>
  </w:style>
  <w:style w:type="paragraph" w:customStyle="1" w:styleId="RSJUtittitre">
    <w:name w:val="RSJU_tit_titre"/>
    <w:basedOn w:val="Titre1"/>
    <w:pPr>
      <w:framePr w:wrap="around"/>
    </w:pPr>
  </w:style>
  <w:style w:type="paragraph" w:customStyle="1" w:styleId="RSJUtitchap">
    <w:name w:val="RSJU_tit_chap"/>
    <w:basedOn w:val="Titre1"/>
    <w:pPr>
      <w:framePr w:wrap="around"/>
      <w:spacing w:before="360" w:after="240"/>
    </w:pPr>
  </w:style>
  <w:style w:type="paragraph" w:customStyle="1" w:styleId="RSJUtitarti">
    <w:name w:val="RSJU_tit_arti"/>
    <w:basedOn w:val="RSJUarticle"/>
    <w:next w:val="RSJUarticle"/>
    <w:link w:val="RSJUtitartiCar"/>
    <w:rPr>
      <w:b/>
    </w:rPr>
  </w:style>
  <w:style w:type="paragraph" w:customStyle="1" w:styleId="RSJUlistepuce">
    <w:name w:val="RSJU_liste_puce"/>
    <w:basedOn w:val="Listepuces"/>
    <w:pPr>
      <w:keepNext/>
      <w:keepLines/>
      <w:numPr>
        <w:numId w:val="1"/>
      </w:numPr>
    </w:pPr>
    <w:rPr>
      <w:spacing w:val="-3"/>
    </w:rPr>
  </w:style>
  <w:style w:type="paragraph" w:styleId="Listepuces">
    <w:name w:val="List Bullet"/>
    <w:basedOn w:val="Normal"/>
    <w:autoRedefine/>
    <w:pPr>
      <w:numPr>
        <w:numId w:val="4"/>
      </w:numPr>
    </w:pPr>
  </w:style>
  <w:style w:type="paragraph" w:customStyle="1" w:styleId="RSJUtitmarg">
    <w:name w:val="RSJU_tit_marg"/>
    <w:basedOn w:val="Titre2"/>
    <w:autoRedefine/>
    <w:pPr>
      <w:spacing w:before="360"/>
      <w:jc w:val="left"/>
    </w:pPr>
  </w:style>
  <w:style w:type="character" w:customStyle="1" w:styleId="RSJUarticleCar">
    <w:name w:val="RSJU_article Car"/>
    <w:link w:val="RSJUarticle"/>
    <w:rsid w:val="001F417E"/>
    <w:rPr>
      <w:rFonts w:ascii="Arial" w:hAnsi="Arial"/>
      <w:sz w:val="24"/>
      <w:lang w:val="fr-FR" w:eastAsia="fr-FR" w:bidi="ar-SA"/>
    </w:rPr>
  </w:style>
  <w:style w:type="paragraph" w:customStyle="1" w:styleId="RSJUdatedoc">
    <w:name w:val="RSJU_date_doc"/>
    <w:basedOn w:val="Normal"/>
    <w:autoRedefine/>
    <w:pPr>
      <w:spacing w:before="360" w:after="240"/>
    </w:pPr>
  </w:style>
  <w:style w:type="paragraph" w:customStyle="1" w:styleId="RSJUsignatures">
    <w:name w:val="RSJU_signatures"/>
    <w:basedOn w:val="Normal"/>
    <w:pPr>
      <w:tabs>
        <w:tab w:val="center" w:pos="4704"/>
        <w:tab w:val="center" w:pos="7930"/>
      </w:tabs>
      <w:spacing w:before="360"/>
      <w:ind w:left="2835"/>
      <w:jc w:val="left"/>
    </w:pPr>
  </w:style>
  <w:style w:type="paragraph" w:customStyle="1" w:styleId="RSJUtitannexe">
    <w:name w:val="RSJU_tit_annexe"/>
    <w:basedOn w:val="RSJUtitloi"/>
    <w:link w:val="RSJUtitannexeCar"/>
    <w:pPr>
      <w:pageBreakBefore/>
      <w:framePr w:wrap="around"/>
    </w:pPr>
  </w:style>
  <w:style w:type="paragraph" w:customStyle="1" w:styleId="RSJUstandard">
    <w:name w:val="RSJU_standard"/>
    <w:basedOn w:val="RSJUarticle"/>
  </w:style>
  <w:style w:type="character" w:customStyle="1" w:styleId="RSJUdocType">
    <w:name w:val="RSJU_docType"/>
    <w:basedOn w:val="Policepardfaut"/>
  </w:style>
  <w:style w:type="paragraph" w:customStyle="1" w:styleId="RSJUlistenum">
    <w:name w:val="RSJU_liste_num"/>
    <w:pPr>
      <w:numPr>
        <w:numId w:val="2"/>
      </w:numPr>
      <w:suppressAutoHyphens/>
      <w:ind w:left="357" w:hanging="357"/>
      <w:jc w:val="both"/>
    </w:pPr>
    <w:rPr>
      <w:rFonts w:ascii="Arial" w:hAnsi="Arial"/>
      <w:sz w:val="24"/>
      <w:lang w:val="fr-FR" w:eastAsia="de-DE"/>
    </w:rPr>
  </w:style>
  <w:style w:type="paragraph" w:customStyle="1" w:styleId="RSJUlistelettre">
    <w:name w:val="RSJU_liste_lettre"/>
    <w:pPr>
      <w:numPr>
        <w:numId w:val="3"/>
      </w:numPr>
      <w:suppressAutoHyphens/>
      <w:jc w:val="both"/>
    </w:pPr>
    <w:rPr>
      <w:rFonts w:ascii="Arial" w:hAnsi="Arial"/>
      <w:sz w:val="24"/>
      <w:lang w:eastAsia="fr-FR"/>
    </w:rPr>
  </w:style>
  <w:style w:type="character" w:styleId="Lienhypertexte">
    <w:name w:val="Hyperlink"/>
    <w:rPr>
      <w:color w:val="0000FF"/>
      <w:u w:val="single"/>
    </w:rPr>
  </w:style>
  <w:style w:type="character" w:customStyle="1" w:styleId="Art1">
    <w:name w:val="Art_1"/>
    <w:rPr>
      <w:b/>
      <w:bCs/>
    </w:rPr>
  </w:style>
  <w:style w:type="paragraph" w:customStyle="1" w:styleId="RSJUlistepuce2">
    <w:name w:val="RSJU_liste_puce2"/>
    <w:basedOn w:val="RSJUlistepuce"/>
    <w:pPr>
      <w:numPr>
        <w:numId w:val="0"/>
      </w:numPr>
      <w:tabs>
        <w:tab w:val="left" w:pos="629"/>
      </w:tabs>
      <w:ind w:left="340"/>
    </w:pPr>
  </w:style>
  <w:style w:type="paragraph" w:customStyle="1" w:styleId="RSJUinter">
    <w:name w:val="RSJU_inter"/>
    <w:basedOn w:val="Normal"/>
    <w:rPr>
      <w:sz w:val="12"/>
    </w:rPr>
  </w:style>
  <w:style w:type="paragraph" w:customStyle="1" w:styleId="RSJUPied">
    <w:name w:val="RSJU_Pied"/>
    <w:basedOn w:val="Pieddepage"/>
    <w:autoRedefine/>
  </w:style>
  <w:style w:type="paragraph" w:customStyle="1" w:styleId="RSJUbaspage">
    <w:name w:val="RSJU_bas_page"/>
    <w:basedOn w:val="Normal"/>
    <w:autoRedefine/>
    <w:pPr>
      <w:tabs>
        <w:tab w:val="right" w:pos="9639"/>
      </w:tabs>
    </w:pPr>
  </w:style>
  <w:style w:type="paragraph" w:customStyle="1" w:styleId="RSJUEntete">
    <w:name w:val="RSJU_Entete"/>
    <w:pPr>
      <w:widowControl w:val="0"/>
      <w:pBdr>
        <w:bottom w:val="single" w:sz="4" w:space="1" w:color="auto"/>
      </w:pBdr>
      <w:tabs>
        <w:tab w:val="right" w:pos="9866"/>
      </w:tabs>
      <w:ind w:left="1560"/>
    </w:pPr>
    <w:rPr>
      <w:rFonts w:ascii="Arial" w:hAnsi="Arial"/>
      <w:sz w:val="24"/>
      <w:lang w:eastAsia="fr-FR"/>
    </w:rPr>
  </w:style>
  <w:style w:type="paragraph" w:customStyle="1" w:styleId="RSJUcelfract">
    <w:name w:val="RSJU_cel_fract"/>
    <w:basedOn w:val="RSJUstandard"/>
    <w:pPr>
      <w:spacing w:before="0" w:after="0"/>
    </w:pPr>
  </w:style>
  <w:style w:type="paragraph" w:customStyle="1" w:styleId="RSJUTitTM">
    <w:name w:val="RSJU_Tit_TM"/>
    <w:basedOn w:val="Normal"/>
    <w:next w:val="RSJUtitchap"/>
    <w:autoRedefine/>
    <w:pPr>
      <w:spacing w:after="480"/>
    </w:pPr>
    <w:rPr>
      <w:rFonts w:cs="Arial"/>
      <w:bCs/>
      <w:sz w:val="28"/>
      <w:lang w:val="fr-CH"/>
    </w:rPr>
  </w:style>
  <w:style w:type="paragraph" w:customStyle="1" w:styleId="RSJUTM2">
    <w:name w:val="RSJU_TM2"/>
    <w:basedOn w:val="Normal"/>
    <w:autoRedefine/>
    <w:pPr>
      <w:tabs>
        <w:tab w:val="right" w:leader="dot" w:pos="9838"/>
      </w:tabs>
      <w:ind w:left="567"/>
    </w:pPr>
  </w:style>
  <w:style w:type="paragraph" w:customStyle="1" w:styleId="RSJUartTM">
    <w:name w:val="RSJU_art_TM"/>
    <w:basedOn w:val="RSJUarticle"/>
    <w:next w:val="Normal"/>
    <w:pPr>
      <w:spacing w:before="120"/>
      <w:jc w:val="right"/>
    </w:pPr>
  </w:style>
  <w:style w:type="paragraph" w:customStyle="1" w:styleId="RSJUTM1">
    <w:name w:val="RSJU_TM1"/>
    <w:basedOn w:val="Normal"/>
    <w:autoRedefine/>
    <w:rPr>
      <w:b/>
      <w:noProof/>
    </w:rPr>
  </w:style>
  <w:style w:type="character" w:styleId="Lienhypertextesuivivisit">
    <w:name w:val="FollowedHyperlink"/>
    <w:rPr>
      <w:color w:val="800080"/>
      <w:u w:val="single"/>
    </w:rPr>
  </w:style>
  <w:style w:type="paragraph" w:customStyle="1" w:styleId="RSJUalinarticle">
    <w:name w:val="RSJU_alin_article"/>
    <w:basedOn w:val="RSJUarticle"/>
    <w:link w:val="RSJUalinarticleCar"/>
    <w:autoRedefine/>
    <w:rsid w:val="002100F6"/>
    <w:pPr>
      <w:spacing w:before="240"/>
      <w:jc w:val="left"/>
    </w:pPr>
    <w:rPr>
      <w:sz w:val="16"/>
      <w:szCs w:val="16"/>
    </w:rPr>
  </w:style>
  <w:style w:type="paragraph" w:customStyle="1" w:styleId="RSJUnotefin">
    <w:name w:val="RSJU_notefin"/>
    <w:basedOn w:val="Normal"/>
    <w:autoRedefine/>
    <w:pPr>
      <w:tabs>
        <w:tab w:val="left" w:pos="258"/>
      </w:tabs>
      <w:ind w:left="258" w:hanging="258"/>
    </w:pPr>
    <w:rPr>
      <w:sz w:val="20"/>
    </w:rPr>
  </w:style>
  <w:style w:type="paragraph" w:customStyle="1" w:styleId="RSJUAuNomav">
    <w:name w:val="RSJU_AuNom_av"/>
    <w:basedOn w:val="RSJUsignatures"/>
    <w:autoRedefine/>
    <w:pPr>
      <w:tabs>
        <w:tab w:val="clear" w:pos="4704"/>
        <w:tab w:val="clear" w:pos="7930"/>
      </w:tabs>
      <w:spacing w:before="480"/>
      <w:ind w:left="1457"/>
      <w:jc w:val="center"/>
    </w:pPr>
  </w:style>
  <w:style w:type="paragraph" w:customStyle="1" w:styleId="RSJUsignatureav">
    <w:name w:val="RSJU_signature_av"/>
    <w:basedOn w:val="RSJUsignatures"/>
    <w:autoRedefine/>
    <w:pPr>
      <w:tabs>
        <w:tab w:val="clear" w:pos="4704"/>
        <w:tab w:val="clear" w:pos="7930"/>
        <w:tab w:val="center" w:pos="2994"/>
        <w:tab w:val="center" w:pos="6680"/>
      </w:tabs>
      <w:ind w:left="18"/>
    </w:pPr>
  </w:style>
  <w:style w:type="character" w:customStyle="1" w:styleId="RSJUalinarticleCar">
    <w:name w:val="RSJU_alin_article Car"/>
    <w:link w:val="RSJUalinarticle"/>
    <w:rsid w:val="002100F6"/>
    <w:rPr>
      <w:rFonts w:ascii="Arial" w:hAnsi="Arial"/>
      <w:sz w:val="16"/>
      <w:szCs w:val="16"/>
      <w:lang w:val="fr-FR" w:eastAsia="fr-FR" w:bidi="ar-SA"/>
    </w:rPr>
  </w:style>
  <w:style w:type="character" w:customStyle="1" w:styleId="RSJUorgdecisCar">
    <w:name w:val="RSJU_org_decis Car"/>
    <w:link w:val="RSJUorgdecis"/>
    <w:rsid w:val="001F417E"/>
    <w:rPr>
      <w:rFonts w:ascii="Arial" w:hAnsi="Arial"/>
      <w:i/>
      <w:sz w:val="24"/>
      <w:lang w:val="fr-CH" w:eastAsia="fr-FR" w:bidi="ar-SA"/>
    </w:rPr>
  </w:style>
  <w:style w:type="character" w:customStyle="1" w:styleId="RSJUrefdecisCar">
    <w:name w:val="RSJU_ref_decis Car"/>
    <w:link w:val="RSJUrefdecis"/>
    <w:rsid w:val="001F417E"/>
    <w:rPr>
      <w:rFonts w:ascii="Arial" w:hAnsi="Arial"/>
      <w:sz w:val="24"/>
      <w:lang w:val="fr-FR" w:eastAsia="fr-FR" w:bidi="ar-SA"/>
    </w:rPr>
  </w:style>
  <w:style w:type="character" w:customStyle="1" w:styleId="RSJUtitloiCar">
    <w:name w:val="RSJU_tit_loi Car"/>
    <w:link w:val="RSJUtitloi"/>
    <w:rsid w:val="001F417E"/>
    <w:rPr>
      <w:rFonts w:ascii="Arial" w:hAnsi="Arial"/>
      <w:b/>
      <w:color w:val="000000"/>
      <w:sz w:val="28"/>
      <w:lang w:val="fr-CH" w:eastAsia="fr-FR" w:bidi="ar-SA"/>
    </w:rPr>
  </w:style>
  <w:style w:type="paragraph" w:customStyle="1" w:styleId="StyleRSJUdateloiAprs18pt">
    <w:name w:val="Style RSJU_date_loi + Après : 18 pt"/>
    <w:basedOn w:val="RSJUdateloi"/>
    <w:rsid w:val="001F417E"/>
  </w:style>
  <w:style w:type="paragraph" w:customStyle="1" w:styleId="RSJUtitaexp">
    <w:name w:val="RSJU_tita_exp"/>
    <w:basedOn w:val="RSJUtitarti"/>
    <w:next w:val="RSJUarticle"/>
    <w:link w:val="RSJUtitaexpCar"/>
    <w:rsid w:val="001F417E"/>
    <w:pPr>
      <w:widowControl w:val="0"/>
    </w:pPr>
    <w:rPr>
      <w:vertAlign w:val="superscript"/>
    </w:rPr>
  </w:style>
  <w:style w:type="character" w:customStyle="1" w:styleId="RSJUtitartiCar">
    <w:name w:val="RSJU_tit_arti Car"/>
    <w:link w:val="RSJUtitarti"/>
    <w:rsid w:val="001F417E"/>
    <w:rPr>
      <w:rFonts w:ascii="Arial" w:hAnsi="Arial"/>
      <w:b/>
      <w:sz w:val="24"/>
      <w:lang w:val="fr-FR" w:eastAsia="fr-FR" w:bidi="ar-SA"/>
    </w:rPr>
  </w:style>
  <w:style w:type="character" w:customStyle="1" w:styleId="RSJUtitaexpCar">
    <w:name w:val="RSJU_tita_exp Car"/>
    <w:link w:val="RSJUtitaexp"/>
    <w:rsid w:val="001F417E"/>
    <w:rPr>
      <w:rFonts w:ascii="Arial" w:hAnsi="Arial"/>
      <w:b/>
      <w:sz w:val="24"/>
      <w:vertAlign w:val="superscript"/>
      <w:lang w:val="fr-FR" w:eastAsia="fr-FR" w:bidi="ar-SA"/>
    </w:rPr>
  </w:style>
  <w:style w:type="character" w:customStyle="1" w:styleId="RSJUtitannexeCar">
    <w:name w:val="RSJU_tit_annexe Car"/>
    <w:basedOn w:val="RSJUtitloiCar"/>
    <w:link w:val="RSJUtitannexe"/>
    <w:rsid w:val="001F417E"/>
    <w:rPr>
      <w:rFonts w:ascii="Arial" w:hAnsi="Arial"/>
      <w:b/>
      <w:color w:val="000000"/>
      <w:sz w:val="28"/>
      <w:lang w:val="fr-CH" w:eastAsia="fr-FR" w:bidi="ar-SA"/>
    </w:rPr>
  </w:style>
  <w:style w:type="character" w:customStyle="1" w:styleId="Marquedecommentaire2">
    <w:name w:val="Marque de commentaire2"/>
    <w:rsid w:val="001F417E"/>
    <w:rPr>
      <w:sz w:val="16"/>
      <w:szCs w:val="16"/>
    </w:rPr>
  </w:style>
  <w:style w:type="character" w:styleId="Marquedecommentaire">
    <w:name w:val="annotation reference"/>
    <w:semiHidden/>
    <w:rsid w:val="00775F80"/>
    <w:rPr>
      <w:sz w:val="16"/>
      <w:szCs w:val="16"/>
    </w:rPr>
  </w:style>
  <w:style w:type="paragraph" w:styleId="Commentaire">
    <w:name w:val="annotation text"/>
    <w:basedOn w:val="Normal"/>
    <w:semiHidden/>
    <w:rsid w:val="00775F80"/>
    <w:rPr>
      <w:sz w:val="20"/>
    </w:rPr>
  </w:style>
  <w:style w:type="paragraph" w:styleId="Objetducommentaire">
    <w:name w:val="annotation subject"/>
    <w:basedOn w:val="Commentaire"/>
    <w:next w:val="Commentaire"/>
    <w:semiHidden/>
    <w:rsid w:val="00775F80"/>
    <w:rPr>
      <w:b/>
      <w:bCs/>
    </w:rPr>
  </w:style>
  <w:style w:type="paragraph" w:styleId="Textedebulles">
    <w:name w:val="Balloon Text"/>
    <w:basedOn w:val="Normal"/>
    <w:semiHidden/>
    <w:rsid w:val="0077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SDI</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Cécile Dominé</dc:creator>
  <cp:keywords/>
  <cp:lastModifiedBy>Roth Nicole</cp:lastModifiedBy>
  <cp:revision>2</cp:revision>
  <cp:lastPrinted>2014-05-21T12:29:00Z</cp:lastPrinted>
  <dcterms:created xsi:type="dcterms:W3CDTF">2014-06-26T05:47:00Z</dcterms:created>
  <dcterms:modified xsi:type="dcterms:W3CDTF">2014-06-26T05:47:00Z</dcterms:modified>
</cp:coreProperties>
</file>