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274" w:rsidRDefault="009B6BD0">
      <w:pPr>
        <w:pStyle w:val="Expditeur"/>
      </w:pPr>
      <w:r>
        <w:rPr>
          <w:noProof/>
          <w:lang w:val="fr-CH" w:eastAsia="fr-CH"/>
        </w:rPr>
        <w:drawing>
          <wp:anchor distT="0" distB="0" distL="114300" distR="114300" simplePos="0" relativeHeight="251658240" behindDoc="1" locked="0" layoutInCell="1" allowOverlap="1">
            <wp:simplePos x="0" y="0"/>
            <wp:positionH relativeFrom="column">
              <wp:posOffset>-720090</wp:posOffset>
            </wp:positionH>
            <wp:positionV relativeFrom="paragraph">
              <wp:posOffset>-1943100</wp:posOffset>
            </wp:positionV>
            <wp:extent cx="7553325" cy="2011680"/>
            <wp:effectExtent l="0" t="0" r="0" b="0"/>
            <wp:wrapNone/>
            <wp:docPr id="7" name="Image 7" descr="com_dele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_deleg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mc:AlternateContent>
          <mc:Choice Requires="wps">
            <w:drawing>
              <wp:anchor distT="0" distB="0" distL="114300" distR="114300" simplePos="0" relativeHeight="251657216" behindDoc="1" locked="1" layoutInCell="0" allowOverlap="1">
                <wp:simplePos x="0" y="0"/>
                <wp:positionH relativeFrom="page">
                  <wp:posOffset>683895</wp:posOffset>
                </wp:positionH>
                <wp:positionV relativeFrom="page">
                  <wp:posOffset>1800225</wp:posOffset>
                </wp:positionV>
                <wp:extent cx="2987675" cy="12058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1205865"/>
                        </a:xfrm>
                        <a:prstGeom prst="rect">
                          <a:avLst/>
                        </a:prstGeom>
                        <a:noFill/>
                        <a:ln>
                          <a:noFill/>
                        </a:ln>
                        <a:extLst>
                          <a:ext uri="{909E8E84-426E-40DD-AFC4-6F175D3DCCD1}">
                            <a14:hiddenFill xmlns:a14="http://schemas.microsoft.com/office/drawing/2010/main">
                              <a:solidFill>
                                <a:srgbClr val="C0C0C0">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1ED15" id="Rectangle 2" o:spid="_x0000_s1026" style="position:absolute;margin-left:53.85pt;margin-top:141.75pt;width:235.25pt;height:9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" o:allowincell="f" filled="f" fillcolor="silver" stroked="f">
                <v:fill opacity="64764f"/>
                <w10:wrap anchorx="page" anchory="page"/>
                <w10:anchorlock/>
              </v:rect>
            </w:pict>
          </mc:Fallback>
        </mc:AlternateContent>
      </w:r>
    </w:p>
    <w:p w:rsidR="00E75231" w:rsidRDefault="00E75231" w:rsidP="00E75231">
      <w:pPr>
        <w:pStyle w:val="Expditeur"/>
        <w:jc w:val="both"/>
      </w:pPr>
    </w:p>
    <w:p w:rsidR="00E75231" w:rsidRPr="00117CFF" w:rsidRDefault="00110722" w:rsidP="00E75231">
      <w:pPr>
        <w:pStyle w:val="Expditeur"/>
        <w:jc w:val="both"/>
        <w:rPr>
          <w:b/>
          <w:sz w:val="36"/>
          <w:szCs w:val="36"/>
        </w:rPr>
      </w:pPr>
      <w:r w:rsidRPr="00117CFF">
        <w:rPr>
          <w:b/>
          <w:sz w:val="36"/>
          <w:szCs w:val="36"/>
        </w:rPr>
        <w:t>Annexe</w:t>
      </w:r>
      <w:r w:rsidR="0079353A">
        <w:rPr>
          <w:b/>
          <w:sz w:val="36"/>
          <w:szCs w:val="36"/>
        </w:rPr>
        <w:t>s</w:t>
      </w:r>
      <w:r w:rsidRPr="00117CFF">
        <w:rPr>
          <w:b/>
          <w:sz w:val="36"/>
          <w:szCs w:val="36"/>
        </w:rPr>
        <w:t xml:space="preserve"> aux comptes annuels</w:t>
      </w:r>
      <w:r w:rsidR="00E75231" w:rsidRPr="00117CFF">
        <w:rPr>
          <w:b/>
          <w:sz w:val="36"/>
          <w:szCs w:val="36"/>
        </w:rPr>
        <w:t xml:space="preserve"> A</w:t>
      </w:r>
      <w:r w:rsidR="00056DA7" w:rsidRPr="00117CFF">
        <w:rPr>
          <w:b/>
          <w:sz w:val="36"/>
          <w:szCs w:val="36"/>
        </w:rPr>
        <w:t xml:space="preserve"> et B</w:t>
      </w:r>
      <w:r w:rsidR="00E75231" w:rsidRPr="00117CFF">
        <w:rPr>
          <w:b/>
          <w:sz w:val="36"/>
          <w:szCs w:val="36"/>
        </w:rPr>
        <w:t> :</w:t>
      </w:r>
    </w:p>
    <w:p w:rsidR="00117CFF" w:rsidRDefault="00671F18" w:rsidP="00117CFF">
      <w:pPr>
        <w:pStyle w:val="Expditeur"/>
        <w:numPr>
          <w:ilvl w:val="0"/>
          <w:numId w:val="2"/>
        </w:numPr>
        <w:ind w:left="0" w:hanging="11"/>
        <w:jc w:val="both"/>
        <w:rPr>
          <w:b/>
          <w:sz w:val="24"/>
          <w:szCs w:val="24"/>
        </w:rPr>
      </w:pPr>
      <w:r>
        <w:rPr>
          <w:b/>
          <w:sz w:val="24"/>
          <w:szCs w:val="24"/>
        </w:rPr>
        <w:t>r</w:t>
      </w:r>
      <w:r w:rsidR="00E75231" w:rsidRPr="00E75231">
        <w:rPr>
          <w:b/>
          <w:sz w:val="24"/>
          <w:szCs w:val="24"/>
        </w:rPr>
        <w:t>ègles régissant la présentation des comptes</w:t>
      </w:r>
      <w:r w:rsidR="00117CFF">
        <w:rPr>
          <w:b/>
          <w:sz w:val="24"/>
          <w:szCs w:val="24"/>
        </w:rPr>
        <w:t> ;</w:t>
      </w:r>
      <w:r w:rsidR="00E75231" w:rsidRPr="00E75231">
        <w:rPr>
          <w:b/>
          <w:sz w:val="24"/>
          <w:szCs w:val="24"/>
        </w:rPr>
        <w:t xml:space="preserve"> ainsi que </w:t>
      </w:r>
    </w:p>
    <w:p w:rsidR="00E75231" w:rsidRDefault="00E75231" w:rsidP="00117CFF">
      <w:pPr>
        <w:pStyle w:val="Expditeur"/>
        <w:numPr>
          <w:ilvl w:val="0"/>
          <w:numId w:val="2"/>
        </w:numPr>
        <w:ind w:left="0" w:hanging="11"/>
        <w:jc w:val="both"/>
        <w:rPr>
          <w:b/>
          <w:sz w:val="24"/>
          <w:szCs w:val="24"/>
        </w:rPr>
      </w:pPr>
      <w:r w:rsidRPr="00E75231">
        <w:rPr>
          <w:b/>
          <w:sz w:val="24"/>
          <w:szCs w:val="24"/>
        </w:rPr>
        <w:t xml:space="preserve">les raisons qui motivent d’éventuelles dérogations aux recommandations </w:t>
      </w:r>
      <w:r>
        <w:rPr>
          <w:b/>
          <w:sz w:val="24"/>
          <w:szCs w:val="24"/>
        </w:rPr>
        <w:t xml:space="preserve">du </w:t>
      </w:r>
      <w:r w:rsidR="0079353A">
        <w:rPr>
          <w:b/>
          <w:sz w:val="24"/>
          <w:szCs w:val="24"/>
        </w:rPr>
        <w:tab/>
      </w:r>
      <w:r>
        <w:rPr>
          <w:b/>
          <w:sz w:val="24"/>
          <w:szCs w:val="24"/>
        </w:rPr>
        <w:t>modèle</w:t>
      </w:r>
      <w:r w:rsidR="00C256FC">
        <w:rPr>
          <w:b/>
          <w:sz w:val="24"/>
          <w:szCs w:val="24"/>
        </w:rPr>
        <w:t xml:space="preserve"> comptable harmonisé 2.</w:t>
      </w:r>
    </w:p>
    <w:p w:rsidR="00110722" w:rsidRPr="00E75231" w:rsidRDefault="00110722" w:rsidP="00E75231">
      <w:pPr>
        <w:pStyle w:val="Expditeur"/>
        <w:jc w:val="both"/>
        <w:rPr>
          <w:b/>
          <w:sz w:val="24"/>
          <w:szCs w:val="24"/>
        </w:rPr>
      </w:pPr>
    </w:p>
    <w:p w:rsidR="00117CFF" w:rsidRPr="00117CFF" w:rsidRDefault="00117CFF" w:rsidP="00E75231">
      <w:pPr>
        <w:pStyle w:val="Expditeur"/>
        <w:jc w:val="both"/>
        <w:rPr>
          <w:b/>
          <w:sz w:val="24"/>
          <w:szCs w:val="24"/>
        </w:rPr>
      </w:pPr>
      <w:r w:rsidRPr="00117CFF">
        <w:rPr>
          <w:b/>
          <w:sz w:val="24"/>
          <w:szCs w:val="24"/>
        </w:rPr>
        <w:t>A)</w:t>
      </w:r>
    </w:p>
    <w:p w:rsidR="00E75231" w:rsidRDefault="00E75231" w:rsidP="00E75231">
      <w:pPr>
        <w:pStyle w:val="Expditeur"/>
        <w:jc w:val="both"/>
        <w:rPr>
          <w:sz w:val="24"/>
          <w:szCs w:val="24"/>
        </w:rPr>
      </w:pPr>
      <w:r>
        <w:rPr>
          <w:sz w:val="24"/>
          <w:szCs w:val="24"/>
        </w:rPr>
        <w:t>Le MCH2 exige que les règles sur lesquelles se fonde la présentation des comptes soient clairement indiquées et que les dérogations à ces règles fassent l’objet d’une justification. Les corporations de droit public jurassiennes sont par ailleurs tenues de respecte</w:t>
      </w:r>
      <w:r w:rsidR="00056DA7">
        <w:rPr>
          <w:sz w:val="24"/>
          <w:szCs w:val="24"/>
        </w:rPr>
        <w:t>r</w:t>
      </w:r>
      <w:r>
        <w:rPr>
          <w:sz w:val="24"/>
          <w:szCs w:val="24"/>
        </w:rPr>
        <w:t xml:space="preserve"> les prescriptions cantonales en matière de présentation des comptes, en particulier le décret concernant l’administration financière des communes</w:t>
      </w:r>
      <w:r>
        <w:rPr>
          <w:rStyle w:val="Appelnotedebasdep"/>
          <w:sz w:val="24"/>
          <w:szCs w:val="24"/>
        </w:rPr>
        <w:footnoteReference w:id="1"/>
      </w:r>
      <w:r w:rsidR="00C256FC">
        <w:rPr>
          <w:sz w:val="24"/>
          <w:szCs w:val="24"/>
        </w:rPr>
        <w:t xml:space="preserve"> (ci-après </w:t>
      </w:r>
      <w:proofErr w:type="spellStart"/>
      <w:r w:rsidR="00C256FC">
        <w:rPr>
          <w:sz w:val="24"/>
          <w:szCs w:val="24"/>
        </w:rPr>
        <w:t>DCom</w:t>
      </w:r>
      <w:proofErr w:type="spellEnd"/>
      <w:r w:rsidR="00C256FC">
        <w:rPr>
          <w:sz w:val="24"/>
          <w:szCs w:val="24"/>
        </w:rPr>
        <w:t>). En conséquence, elles utiliseront tout</w:t>
      </w:r>
      <w:r w:rsidR="004506EA">
        <w:rPr>
          <w:sz w:val="24"/>
          <w:szCs w:val="24"/>
        </w:rPr>
        <w:t>es</w:t>
      </w:r>
      <w:r w:rsidR="00C256FC">
        <w:rPr>
          <w:sz w:val="24"/>
          <w:szCs w:val="24"/>
        </w:rPr>
        <w:t xml:space="preserve"> le texte standard ci-dessous :</w:t>
      </w:r>
    </w:p>
    <w:p w:rsidR="00C256FC" w:rsidRPr="00601EDC" w:rsidRDefault="00C256FC" w:rsidP="00E75231">
      <w:pPr>
        <w:pStyle w:val="Expditeur"/>
        <w:jc w:val="both"/>
        <w:rPr>
          <w:b/>
          <w:i/>
          <w:sz w:val="24"/>
          <w:szCs w:val="24"/>
        </w:rPr>
      </w:pPr>
      <w:r w:rsidRPr="00601EDC">
        <w:rPr>
          <w:b/>
          <w:i/>
          <w:sz w:val="24"/>
          <w:szCs w:val="24"/>
        </w:rPr>
        <w:t>Règles applicable à la présentation des comptes</w:t>
      </w:r>
      <w:bookmarkStart w:id="0" w:name="_GoBack"/>
      <w:bookmarkEnd w:id="0"/>
    </w:p>
    <w:p w:rsidR="00C256FC" w:rsidRDefault="00C256FC" w:rsidP="00E75231">
      <w:pPr>
        <w:pStyle w:val="Expditeur"/>
        <w:jc w:val="both"/>
        <w:rPr>
          <w:sz w:val="24"/>
          <w:szCs w:val="24"/>
        </w:rPr>
      </w:pPr>
      <w:r>
        <w:rPr>
          <w:sz w:val="24"/>
          <w:szCs w:val="24"/>
        </w:rPr>
        <w:t xml:space="preserve">Les comptes annuels de </w:t>
      </w:r>
      <w:r w:rsidRPr="00585886">
        <w:rPr>
          <w:sz w:val="24"/>
          <w:szCs w:val="24"/>
          <w:highlight w:val="yellow"/>
        </w:rPr>
        <w:t>la commune</w:t>
      </w:r>
      <w:r w:rsidR="00585886" w:rsidRPr="00585886">
        <w:rPr>
          <w:sz w:val="24"/>
          <w:szCs w:val="24"/>
          <w:highlight w:val="yellow"/>
        </w:rPr>
        <w:t>/bourgeoisie/syndicat</w:t>
      </w:r>
      <w:r>
        <w:rPr>
          <w:sz w:val="24"/>
          <w:szCs w:val="24"/>
        </w:rPr>
        <w:t xml:space="preserve"> </w:t>
      </w:r>
      <w:r w:rsidRPr="00601EDC">
        <w:rPr>
          <w:sz w:val="24"/>
          <w:szCs w:val="24"/>
          <w:highlight w:val="yellow"/>
        </w:rPr>
        <w:t>municipale/mixte de XYZ</w:t>
      </w:r>
      <w:r>
        <w:rPr>
          <w:sz w:val="24"/>
          <w:szCs w:val="24"/>
        </w:rPr>
        <w:t xml:space="preserve"> ont été clos conformément au </w:t>
      </w:r>
      <w:proofErr w:type="spellStart"/>
      <w:r>
        <w:rPr>
          <w:sz w:val="24"/>
          <w:szCs w:val="24"/>
        </w:rPr>
        <w:t>DCom</w:t>
      </w:r>
      <w:proofErr w:type="spellEnd"/>
      <w:r>
        <w:rPr>
          <w:sz w:val="24"/>
          <w:szCs w:val="24"/>
        </w:rPr>
        <w:t xml:space="preserve"> ainsi qu’aux directives établies par le Délégué aux affaires communales.</w:t>
      </w:r>
    </w:p>
    <w:p w:rsidR="00C256FC" w:rsidRDefault="00C256FC" w:rsidP="00E75231">
      <w:pPr>
        <w:pStyle w:val="Expditeur"/>
        <w:jc w:val="both"/>
        <w:rPr>
          <w:sz w:val="24"/>
          <w:szCs w:val="24"/>
        </w:rPr>
      </w:pPr>
      <w:r>
        <w:rPr>
          <w:sz w:val="24"/>
          <w:szCs w:val="24"/>
        </w:rPr>
        <w:t xml:space="preserve">En application de l’article 4, alinéa 1 du </w:t>
      </w:r>
      <w:proofErr w:type="spellStart"/>
      <w:r>
        <w:rPr>
          <w:sz w:val="24"/>
          <w:szCs w:val="24"/>
        </w:rPr>
        <w:t>DCom</w:t>
      </w:r>
      <w:proofErr w:type="spellEnd"/>
      <w:r>
        <w:rPr>
          <w:sz w:val="24"/>
          <w:szCs w:val="24"/>
        </w:rPr>
        <w:t>, les comptes se fondent sur le modèle comptable harmonisé 2 pour les cantons et les communes (MCH2) selon le manuel de la Conférence des directrices et directeurs cantonaux des finances. Dans certains domaines, les prescriptions cantonales s’écartent des recommandations concernant le MCH2.</w:t>
      </w:r>
    </w:p>
    <w:p w:rsidR="00117CFF" w:rsidRDefault="00117CFF" w:rsidP="00E75231">
      <w:pPr>
        <w:pStyle w:val="Expditeur"/>
        <w:jc w:val="both"/>
        <w:rPr>
          <w:sz w:val="24"/>
          <w:szCs w:val="24"/>
        </w:rPr>
      </w:pPr>
    </w:p>
    <w:p w:rsidR="00C256FC" w:rsidRPr="00117CFF" w:rsidRDefault="00117CFF" w:rsidP="00E75231">
      <w:pPr>
        <w:pStyle w:val="Expditeur"/>
        <w:jc w:val="both"/>
        <w:rPr>
          <w:b/>
          <w:sz w:val="24"/>
          <w:szCs w:val="24"/>
        </w:rPr>
      </w:pPr>
      <w:r w:rsidRPr="00117CFF">
        <w:rPr>
          <w:b/>
          <w:sz w:val="24"/>
          <w:szCs w:val="24"/>
        </w:rPr>
        <w:t>B)</w:t>
      </w:r>
    </w:p>
    <w:p w:rsidR="00C256FC" w:rsidRDefault="00C256FC" w:rsidP="00E75231">
      <w:pPr>
        <w:pStyle w:val="Expditeur"/>
        <w:jc w:val="both"/>
        <w:rPr>
          <w:sz w:val="24"/>
          <w:szCs w:val="24"/>
        </w:rPr>
      </w:pPr>
      <w:r>
        <w:rPr>
          <w:sz w:val="24"/>
          <w:szCs w:val="24"/>
        </w:rPr>
        <w:t>Les dérogations au MCH2 qui résultent de la législation cantonale sur les communes sont énumérées ci-dessous :</w:t>
      </w:r>
    </w:p>
    <w:p w:rsidR="0033068C" w:rsidRDefault="0033068C" w:rsidP="0033068C">
      <w:pPr>
        <w:pStyle w:val="Expditeur"/>
        <w:numPr>
          <w:ilvl w:val="0"/>
          <w:numId w:val="1"/>
        </w:numPr>
        <w:jc w:val="both"/>
        <w:rPr>
          <w:sz w:val="24"/>
          <w:szCs w:val="24"/>
        </w:rPr>
      </w:pPr>
      <w:r>
        <w:rPr>
          <w:sz w:val="24"/>
          <w:szCs w:val="24"/>
        </w:rPr>
        <w:t>Concernant la recommandation N° 4, les amortissements supplémentaires ne sont pas autorisés</w:t>
      </w:r>
      <w:r w:rsidR="00D701DC">
        <w:rPr>
          <w:sz w:val="24"/>
          <w:szCs w:val="24"/>
        </w:rPr>
        <w:t xml:space="preserve"> contrairement à ladite recommandation qui prévoit une comptabilisation dans les charges extraordinaires.</w:t>
      </w:r>
      <w:r>
        <w:rPr>
          <w:sz w:val="24"/>
          <w:szCs w:val="24"/>
        </w:rPr>
        <w:t xml:space="preserve"> Partant, ils ne sont pas présentés dans le compte de résultat</w:t>
      </w:r>
      <w:r w:rsidR="00D574A7">
        <w:rPr>
          <w:sz w:val="24"/>
          <w:szCs w:val="24"/>
        </w:rPr>
        <w:t>s</w:t>
      </w:r>
      <w:r>
        <w:rPr>
          <w:sz w:val="24"/>
          <w:szCs w:val="24"/>
        </w:rPr>
        <w:t>.</w:t>
      </w:r>
    </w:p>
    <w:p w:rsidR="0033068C" w:rsidRDefault="0033068C" w:rsidP="0033068C">
      <w:pPr>
        <w:pStyle w:val="Expditeur"/>
        <w:numPr>
          <w:ilvl w:val="0"/>
          <w:numId w:val="1"/>
        </w:numPr>
        <w:jc w:val="both"/>
        <w:rPr>
          <w:sz w:val="24"/>
          <w:szCs w:val="24"/>
        </w:rPr>
      </w:pPr>
      <w:r>
        <w:rPr>
          <w:sz w:val="24"/>
          <w:szCs w:val="24"/>
        </w:rPr>
        <w:lastRenderedPageBreak/>
        <w:t>Concernant la recommandation N° 4 et la directive N° 1 du délégué aux affaires communales, les investissements consentis avant la mise en œuvre du MCH2, soit avant le 1</w:t>
      </w:r>
      <w:r w:rsidRPr="0033068C">
        <w:rPr>
          <w:sz w:val="24"/>
          <w:szCs w:val="24"/>
          <w:vertAlign w:val="superscript"/>
        </w:rPr>
        <w:t>er</w:t>
      </w:r>
      <w:r>
        <w:rPr>
          <w:sz w:val="24"/>
          <w:szCs w:val="24"/>
        </w:rPr>
        <w:t xml:space="preserve"> janvier 2020 sont amortis selon les dispositions du décret concernant l’administration financière des communes du 21 mai 1987 </w:t>
      </w:r>
      <w:r w:rsidR="00046CFF">
        <w:rPr>
          <w:sz w:val="24"/>
          <w:szCs w:val="24"/>
        </w:rPr>
        <w:t xml:space="preserve">et </w:t>
      </w:r>
      <w:r>
        <w:rPr>
          <w:sz w:val="24"/>
          <w:szCs w:val="24"/>
        </w:rPr>
        <w:t>selon les décisions d’approbation du délégué aux affaires communales ainsi que du plan financier</w:t>
      </w:r>
      <w:r w:rsidR="00046CFF">
        <w:rPr>
          <w:sz w:val="24"/>
          <w:szCs w:val="24"/>
        </w:rPr>
        <w:t xml:space="preserve"> communal</w:t>
      </w:r>
      <w:r>
        <w:rPr>
          <w:sz w:val="24"/>
          <w:szCs w:val="24"/>
        </w:rPr>
        <w:t>.</w:t>
      </w:r>
    </w:p>
    <w:p w:rsidR="00C256FC" w:rsidRDefault="00C256FC" w:rsidP="00C256FC">
      <w:pPr>
        <w:pStyle w:val="Expditeur"/>
        <w:numPr>
          <w:ilvl w:val="0"/>
          <w:numId w:val="1"/>
        </w:numPr>
        <w:jc w:val="both"/>
        <w:rPr>
          <w:sz w:val="24"/>
          <w:szCs w:val="24"/>
        </w:rPr>
      </w:pPr>
      <w:r>
        <w:rPr>
          <w:sz w:val="24"/>
          <w:szCs w:val="24"/>
        </w:rPr>
        <w:t>Concernant la recommandation N° 6, le patrimoine administratif ne sera pas réévalué lors de la mise en œuvre du MCH2.</w:t>
      </w:r>
    </w:p>
    <w:p w:rsidR="00046CFF" w:rsidRDefault="00046CFF" w:rsidP="00C256FC">
      <w:pPr>
        <w:pStyle w:val="Expditeur"/>
        <w:numPr>
          <w:ilvl w:val="0"/>
          <w:numId w:val="1"/>
        </w:numPr>
        <w:jc w:val="both"/>
        <w:rPr>
          <w:sz w:val="24"/>
          <w:szCs w:val="24"/>
        </w:rPr>
      </w:pPr>
      <w:r>
        <w:rPr>
          <w:sz w:val="24"/>
          <w:szCs w:val="24"/>
        </w:rPr>
        <w:t>Concernant la recommandation N° 8 et la directive N° 2 du délégué aux affaires communales, les préfinancements du patrimoine administratif peuvent exceptionnellement être autorisés pour un investissement conséquent</w:t>
      </w:r>
      <w:r w:rsidR="000431B4">
        <w:rPr>
          <w:sz w:val="24"/>
          <w:szCs w:val="24"/>
        </w:rPr>
        <w:t xml:space="preserve"> devenu indispensable à la collectivité publique</w:t>
      </w:r>
      <w:r>
        <w:rPr>
          <w:sz w:val="24"/>
          <w:szCs w:val="24"/>
        </w:rPr>
        <w:t xml:space="preserve">. Cette opération nécessite l’approbation du Délégué aux </w:t>
      </w:r>
      <w:r w:rsidR="00056DA7">
        <w:rPr>
          <w:sz w:val="24"/>
          <w:szCs w:val="24"/>
        </w:rPr>
        <w:t>affaires communales ainsi que</w:t>
      </w:r>
      <w:r>
        <w:rPr>
          <w:sz w:val="24"/>
          <w:szCs w:val="24"/>
        </w:rPr>
        <w:t xml:space="preserve"> l’autorisation de l’organe compétent. Les préfinancements du patrimoine financier ne sont pas autorisés.</w:t>
      </w:r>
    </w:p>
    <w:p w:rsidR="00C256FC" w:rsidRDefault="00C256FC" w:rsidP="00C256FC">
      <w:pPr>
        <w:pStyle w:val="Expditeur"/>
        <w:numPr>
          <w:ilvl w:val="0"/>
          <w:numId w:val="1"/>
        </w:numPr>
        <w:jc w:val="both"/>
        <w:rPr>
          <w:sz w:val="24"/>
          <w:szCs w:val="24"/>
        </w:rPr>
      </w:pPr>
      <w:r>
        <w:rPr>
          <w:sz w:val="24"/>
          <w:szCs w:val="24"/>
        </w:rPr>
        <w:t>Concernant les bourgeoisies et autres collectivités soumises à l’impôt, les amortissements complémentaires, les provisions, les réserves d’amortissement et les rectifications de valeur sont régis par les prescriptions de la législation fiscale.</w:t>
      </w:r>
    </w:p>
    <w:p w:rsidR="0033068C" w:rsidRDefault="0033068C" w:rsidP="00601EDC">
      <w:pPr>
        <w:pStyle w:val="Expditeur"/>
        <w:jc w:val="both"/>
        <w:rPr>
          <w:sz w:val="24"/>
          <w:szCs w:val="24"/>
        </w:rPr>
      </w:pPr>
    </w:p>
    <w:p w:rsidR="0033068C" w:rsidRDefault="0033068C" w:rsidP="00601EDC">
      <w:pPr>
        <w:pStyle w:val="Expditeur"/>
        <w:jc w:val="both"/>
        <w:rPr>
          <w:sz w:val="24"/>
          <w:szCs w:val="24"/>
        </w:rPr>
      </w:pPr>
    </w:p>
    <w:p w:rsidR="0033068C" w:rsidRDefault="0033068C" w:rsidP="00601EDC">
      <w:pPr>
        <w:pStyle w:val="Expditeur"/>
        <w:jc w:val="both"/>
        <w:rPr>
          <w:sz w:val="24"/>
          <w:szCs w:val="24"/>
        </w:rPr>
      </w:pPr>
    </w:p>
    <w:p w:rsidR="00601EDC" w:rsidRDefault="00804D84" w:rsidP="00601EDC">
      <w:pPr>
        <w:pStyle w:val="Expditeur"/>
        <w:jc w:val="both"/>
        <w:rPr>
          <w:sz w:val="24"/>
          <w:szCs w:val="24"/>
        </w:rPr>
      </w:pPr>
      <w:r w:rsidRPr="00804D84">
        <w:rPr>
          <w:sz w:val="24"/>
          <w:szCs w:val="24"/>
          <w:highlight w:val="yellow"/>
        </w:rPr>
        <w:t>XYZ</w:t>
      </w:r>
      <w:r w:rsidR="00056DA7" w:rsidRPr="00804D84">
        <w:rPr>
          <w:sz w:val="24"/>
          <w:szCs w:val="24"/>
          <w:highlight w:val="yellow"/>
        </w:rPr>
        <w:t xml:space="preserve">, le </w:t>
      </w:r>
      <w:r w:rsidRPr="00804D84">
        <w:rPr>
          <w:sz w:val="24"/>
          <w:szCs w:val="24"/>
          <w:highlight w:val="yellow"/>
        </w:rPr>
        <w:t>JJ MMMMMM AAAA</w:t>
      </w:r>
    </w:p>
    <w:p w:rsidR="00E75231" w:rsidRDefault="00E75231" w:rsidP="00E75231">
      <w:pPr>
        <w:pStyle w:val="Expditeur"/>
        <w:jc w:val="both"/>
        <w:rPr>
          <w:sz w:val="24"/>
          <w:szCs w:val="24"/>
        </w:rPr>
      </w:pPr>
    </w:p>
    <w:p w:rsidR="00804D84" w:rsidRDefault="00804D84" w:rsidP="00E75231">
      <w:pPr>
        <w:pStyle w:val="Expditeur"/>
        <w:jc w:val="both"/>
        <w:rPr>
          <w:sz w:val="24"/>
          <w:szCs w:val="24"/>
        </w:rPr>
      </w:pPr>
      <w:r>
        <w:rPr>
          <w:sz w:val="24"/>
          <w:szCs w:val="24"/>
        </w:rPr>
        <w:t xml:space="preserve">Au nom </w:t>
      </w:r>
      <w:r w:rsidRPr="00804D84">
        <w:rPr>
          <w:sz w:val="24"/>
          <w:szCs w:val="24"/>
          <w:highlight w:val="yellow"/>
        </w:rPr>
        <w:t>de la</w:t>
      </w:r>
      <w:r>
        <w:rPr>
          <w:sz w:val="24"/>
          <w:szCs w:val="24"/>
        </w:rPr>
        <w:t xml:space="preserve"> </w:t>
      </w:r>
      <w:r w:rsidRPr="00804D84">
        <w:rPr>
          <w:sz w:val="24"/>
          <w:szCs w:val="24"/>
          <w:highlight w:val="yellow"/>
        </w:rPr>
        <w:t>commune/bourgeoisie/syndicat</w:t>
      </w:r>
      <w:r>
        <w:rPr>
          <w:sz w:val="24"/>
          <w:szCs w:val="24"/>
        </w:rPr>
        <w:t xml:space="preserve"> de </w:t>
      </w:r>
      <w:r w:rsidRPr="00804D84">
        <w:rPr>
          <w:sz w:val="24"/>
          <w:szCs w:val="24"/>
          <w:highlight w:val="yellow"/>
        </w:rPr>
        <w:t>XYZ</w:t>
      </w:r>
    </w:p>
    <w:p w:rsidR="00804D84" w:rsidRDefault="00804D84" w:rsidP="00804D84">
      <w:pPr>
        <w:pStyle w:val="Expditeur"/>
        <w:spacing w:after="0"/>
        <w:jc w:val="both"/>
        <w:rPr>
          <w:sz w:val="24"/>
          <w:szCs w:val="24"/>
        </w:rPr>
      </w:pPr>
    </w:p>
    <w:p w:rsidR="00804D84" w:rsidRDefault="00804D84" w:rsidP="00804D84">
      <w:pPr>
        <w:pStyle w:val="Expditeur"/>
        <w:spacing w:after="0"/>
        <w:jc w:val="both"/>
        <w:rPr>
          <w:sz w:val="24"/>
          <w:szCs w:val="24"/>
        </w:rPr>
      </w:pPr>
    </w:p>
    <w:p w:rsidR="00804D84" w:rsidRDefault="008222E6" w:rsidP="00804D84">
      <w:pPr>
        <w:pStyle w:val="Expditeur"/>
        <w:spacing w:after="0"/>
        <w:jc w:val="both"/>
        <w:rPr>
          <w:sz w:val="24"/>
          <w:szCs w:val="24"/>
        </w:rPr>
      </w:pPr>
      <w:r>
        <w:rPr>
          <w:sz w:val="24"/>
          <w:szCs w:val="24"/>
        </w:rPr>
        <w:t>Le responsable financier</w:t>
      </w:r>
      <w:r w:rsidR="00804D84">
        <w:rPr>
          <w:sz w:val="24"/>
          <w:szCs w:val="24"/>
        </w:rPr>
        <w:t> :</w:t>
      </w:r>
    </w:p>
    <w:p w:rsidR="00804D84" w:rsidRDefault="00804D84" w:rsidP="00E75231">
      <w:pPr>
        <w:pStyle w:val="Expditeur"/>
        <w:jc w:val="both"/>
        <w:rPr>
          <w:i/>
          <w:sz w:val="16"/>
          <w:szCs w:val="16"/>
        </w:rPr>
      </w:pPr>
      <w:r w:rsidRPr="00804D84">
        <w:rPr>
          <w:i/>
          <w:sz w:val="16"/>
          <w:szCs w:val="16"/>
        </w:rPr>
        <w:t>(</w:t>
      </w:r>
      <w:proofErr w:type="gramStart"/>
      <w:r w:rsidRPr="00804D84">
        <w:rPr>
          <w:i/>
          <w:sz w:val="16"/>
          <w:szCs w:val="16"/>
        </w:rPr>
        <w:t>timbre</w:t>
      </w:r>
      <w:proofErr w:type="gramEnd"/>
      <w:r w:rsidRPr="00804D84">
        <w:rPr>
          <w:i/>
          <w:sz w:val="16"/>
          <w:szCs w:val="16"/>
        </w:rPr>
        <w:t xml:space="preserve"> et signature)</w:t>
      </w:r>
    </w:p>
    <w:p w:rsidR="00804D84" w:rsidRDefault="00804D84" w:rsidP="00E75231">
      <w:pPr>
        <w:pStyle w:val="Expditeur"/>
        <w:jc w:val="both"/>
        <w:rPr>
          <w:i/>
          <w:sz w:val="16"/>
          <w:szCs w:val="16"/>
        </w:rPr>
      </w:pPr>
    </w:p>
    <w:p w:rsidR="00804D84" w:rsidRDefault="00804D84" w:rsidP="00E75231">
      <w:pPr>
        <w:pStyle w:val="Expditeur"/>
        <w:jc w:val="both"/>
        <w:rPr>
          <w:i/>
          <w:sz w:val="16"/>
          <w:szCs w:val="16"/>
        </w:rPr>
      </w:pPr>
    </w:p>
    <w:p w:rsidR="00804D84" w:rsidRDefault="00804D84" w:rsidP="00E75231">
      <w:pPr>
        <w:pStyle w:val="Expditeur"/>
        <w:jc w:val="both"/>
        <w:rPr>
          <w:i/>
          <w:sz w:val="16"/>
          <w:szCs w:val="16"/>
        </w:rPr>
      </w:pPr>
    </w:p>
    <w:p w:rsidR="00804D84" w:rsidRPr="00804D84" w:rsidRDefault="00804D84" w:rsidP="00E75231">
      <w:pPr>
        <w:pStyle w:val="Expditeur"/>
        <w:jc w:val="both"/>
        <w:rPr>
          <w:sz w:val="24"/>
          <w:szCs w:val="24"/>
        </w:rPr>
      </w:pPr>
      <w:r>
        <w:rPr>
          <w:sz w:val="24"/>
          <w:szCs w:val="24"/>
        </w:rPr>
        <w:t>____________________________________________</w:t>
      </w:r>
    </w:p>
    <w:sectPr w:rsidR="00804D84" w:rsidRPr="00804D84" w:rsidSect="00153B6E">
      <w:footerReference w:type="default" r:id="rId9"/>
      <w:footerReference w:type="first" r:id="rId10"/>
      <w:pgSz w:w="11906" w:h="16838" w:code="9"/>
      <w:pgMar w:top="2835" w:right="1134" w:bottom="1985" w:left="1134" w:header="720" w:footer="851" w:gutter="0"/>
      <w:paperSrc w:first="7" w:other="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CE5" w:rsidRDefault="00232CE5">
      <w:r>
        <w:separator/>
      </w:r>
    </w:p>
  </w:endnote>
  <w:endnote w:type="continuationSeparator" w:id="0">
    <w:p w:rsidR="00232CE5" w:rsidRDefault="0023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L Univers 45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74" w:rsidRDefault="00494274">
    <w:pPr>
      <w:pStyle w:val="Pieddepage"/>
      <w:jc w:val="right"/>
      <w:rPr>
        <w:sz w:val="16"/>
      </w:rPr>
    </w:pPr>
    <w:r>
      <w:rPr>
        <w:rStyle w:val="Numrodepage"/>
        <w:sz w:val="16"/>
      </w:rPr>
      <w:fldChar w:fldCharType="begin"/>
    </w:r>
    <w:r>
      <w:rPr>
        <w:rStyle w:val="Numrodepage"/>
        <w:sz w:val="16"/>
      </w:rPr>
      <w:instrText xml:space="preserve"> PAGE </w:instrText>
    </w:r>
    <w:r>
      <w:rPr>
        <w:rStyle w:val="Numrodepage"/>
        <w:sz w:val="16"/>
      </w:rPr>
      <w:fldChar w:fldCharType="separate"/>
    </w:r>
    <w:r w:rsidR="00045A74">
      <w:rPr>
        <w:rStyle w:val="Numrodepage"/>
        <w:noProof/>
        <w:sz w:val="16"/>
      </w:rPr>
      <w:t>2</w:t>
    </w:r>
    <w:r>
      <w:rPr>
        <w:rStyle w:val="Numrodepage"/>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74" w:rsidRDefault="00494274">
    <w:pPr>
      <w:pStyle w:val="Pieddepage"/>
    </w:pPr>
    <w:r>
      <w:rPr>
        <w:sz w:val="12"/>
      </w:rPr>
      <w:tab/>
    </w:r>
    <w:r>
      <w:rPr>
        <w:sz w:val="12"/>
      </w:rPr>
      <w:tab/>
    </w:r>
    <w:r>
      <w:t>www.jura.ch/com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CE5" w:rsidRDefault="00232CE5">
      <w:r>
        <w:separator/>
      </w:r>
    </w:p>
  </w:footnote>
  <w:footnote w:type="continuationSeparator" w:id="0">
    <w:p w:rsidR="00232CE5" w:rsidRDefault="00232CE5">
      <w:r>
        <w:continuationSeparator/>
      </w:r>
    </w:p>
  </w:footnote>
  <w:footnote w:id="1">
    <w:p w:rsidR="00E75231" w:rsidRPr="00E75231" w:rsidRDefault="00E75231">
      <w:pPr>
        <w:pStyle w:val="Notedebasdepage"/>
        <w:rPr>
          <w:lang w:val="fr-CH"/>
        </w:rPr>
      </w:pPr>
      <w:r>
        <w:rPr>
          <w:rStyle w:val="Appelnotedebasdep"/>
        </w:rPr>
        <w:footnoteRef/>
      </w:r>
      <w:r>
        <w:t xml:space="preserve"> </w:t>
      </w:r>
      <w:r>
        <w:rPr>
          <w:lang w:val="fr-CH"/>
        </w:rPr>
        <w:t>RSJU 190.611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63F4"/>
    <w:multiLevelType w:val="hybridMultilevel"/>
    <w:tmpl w:val="1472C182"/>
    <w:lvl w:ilvl="0" w:tplc="0EE0187E">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660E7DB4"/>
    <w:multiLevelType w:val="hybridMultilevel"/>
    <w:tmpl w:val="656417E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18"/>
    <w:rsid w:val="00003375"/>
    <w:rsid w:val="000276EA"/>
    <w:rsid w:val="000431B4"/>
    <w:rsid w:val="00045A74"/>
    <w:rsid w:val="00046CFF"/>
    <w:rsid w:val="00056DA7"/>
    <w:rsid w:val="00086A86"/>
    <w:rsid w:val="000A50AE"/>
    <w:rsid w:val="000A54DB"/>
    <w:rsid w:val="000B3737"/>
    <w:rsid w:val="000C6D8D"/>
    <w:rsid w:val="000D56D7"/>
    <w:rsid w:val="00110722"/>
    <w:rsid w:val="00117CFF"/>
    <w:rsid w:val="00121520"/>
    <w:rsid w:val="001502FB"/>
    <w:rsid w:val="00153B6E"/>
    <w:rsid w:val="001947CB"/>
    <w:rsid w:val="001A67B7"/>
    <w:rsid w:val="001A70EA"/>
    <w:rsid w:val="001E1520"/>
    <w:rsid w:val="00205128"/>
    <w:rsid w:val="00215D22"/>
    <w:rsid w:val="0021667D"/>
    <w:rsid w:val="00222BC6"/>
    <w:rsid w:val="00232CE5"/>
    <w:rsid w:val="00246518"/>
    <w:rsid w:val="0024781B"/>
    <w:rsid w:val="00250961"/>
    <w:rsid w:val="00265631"/>
    <w:rsid w:val="002952FB"/>
    <w:rsid w:val="00297966"/>
    <w:rsid w:val="002C605F"/>
    <w:rsid w:val="0033068C"/>
    <w:rsid w:val="003729DF"/>
    <w:rsid w:val="00377BF7"/>
    <w:rsid w:val="00377F9D"/>
    <w:rsid w:val="00391E98"/>
    <w:rsid w:val="003A4B8C"/>
    <w:rsid w:val="003F3F32"/>
    <w:rsid w:val="003F3F5C"/>
    <w:rsid w:val="00444022"/>
    <w:rsid w:val="0044436A"/>
    <w:rsid w:val="004506EA"/>
    <w:rsid w:val="004823FE"/>
    <w:rsid w:val="00494274"/>
    <w:rsid w:val="004B5456"/>
    <w:rsid w:val="004C3ABD"/>
    <w:rsid w:val="00504015"/>
    <w:rsid w:val="00542669"/>
    <w:rsid w:val="00557DC1"/>
    <w:rsid w:val="00585886"/>
    <w:rsid w:val="0059524A"/>
    <w:rsid w:val="005B5842"/>
    <w:rsid w:val="005D3230"/>
    <w:rsid w:val="00601EDC"/>
    <w:rsid w:val="00635A8F"/>
    <w:rsid w:val="00647E3F"/>
    <w:rsid w:val="006522AA"/>
    <w:rsid w:val="006639F6"/>
    <w:rsid w:val="00667334"/>
    <w:rsid w:val="00671F18"/>
    <w:rsid w:val="00691121"/>
    <w:rsid w:val="007159D3"/>
    <w:rsid w:val="0072716D"/>
    <w:rsid w:val="00742BCF"/>
    <w:rsid w:val="007479CC"/>
    <w:rsid w:val="00747E24"/>
    <w:rsid w:val="007517AC"/>
    <w:rsid w:val="0077183F"/>
    <w:rsid w:val="007821EF"/>
    <w:rsid w:val="0078439B"/>
    <w:rsid w:val="0079353A"/>
    <w:rsid w:val="007C24D4"/>
    <w:rsid w:val="007D7ECD"/>
    <w:rsid w:val="007E5268"/>
    <w:rsid w:val="00803A27"/>
    <w:rsid w:val="00804D84"/>
    <w:rsid w:val="008133CA"/>
    <w:rsid w:val="008222E6"/>
    <w:rsid w:val="008223E0"/>
    <w:rsid w:val="00865594"/>
    <w:rsid w:val="008673E4"/>
    <w:rsid w:val="008C4D7F"/>
    <w:rsid w:val="008E7974"/>
    <w:rsid w:val="00901662"/>
    <w:rsid w:val="00951538"/>
    <w:rsid w:val="009622F0"/>
    <w:rsid w:val="009B41B9"/>
    <w:rsid w:val="009B6BD0"/>
    <w:rsid w:val="009C1DB0"/>
    <w:rsid w:val="00A05CB0"/>
    <w:rsid w:val="00A06A75"/>
    <w:rsid w:val="00A924AD"/>
    <w:rsid w:val="00AB5CC0"/>
    <w:rsid w:val="00AC13BD"/>
    <w:rsid w:val="00B15CC1"/>
    <w:rsid w:val="00B34C89"/>
    <w:rsid w:val="00B428C3"/>
    <w:rsid w:val="00B55DF3"/>
    <w:rsid w:val="00B645B4"/>
    <w:rsid w:val="00BA41B4"/>
    <w:rsid w:val="00BB1215"/>
    <w:rsid w:val="00BE3A75"/>
    <w:rsid w:val="00C256FC"/>
    <w:rsid w:val="00C273C7"/>
    <w:rsid w:val="00C43E8A"/>
    <w:rsid w:val="00C4610F"/>
    <w:rsid w:val="00CE2B34"/>
    <w:rsid w:val="00CF3647"/>
    <w:rsid w:val="00D318E6"/>
    <w:rsid w:val="00D574A7"/>
    <w:rsid w:val="00D701DC"/>
    <w:rsid w:val="00D71919"/>
    <w:rsid w:val="00E14C59"/>
    <w:rsid w:val="00E336E3"/>
    <w:rsid w:val="00E44732"/>
    <w:rsid w:val="00E6612E"/>
    <w:rsid w:val="00E70404"/>
    <w:rsid w:val="00E735F2"/>
    <w:rsid w:val="00E75231"/>
    <w:rsid w:val="00F0529F"/>
    <w:rsid w:val="00F3367E"/>
    <w:rsid w:val="00F53FFC"/>
    <w:rsid w:val="00F737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A047813-ECE1-469A-9159-795CCC35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1)" w:hAnsi="Arial (W1)"/>
      <w:sz w:val="22"/>
      <w:lang w:val="fr-FR" w:eastAsia="fr-FR"/>
    </w:rPr>
  </w:style>
  <w:style w:type="paragraph" w:styleId="Titre3">
    <w:name w:val="heading 3"/>
    <w:basedOn w:val="Normal"/>
    <w:next w:val="Normal"/>
    <w:qFormat/>
    <w:pPr>
      <w:keepNext/>
      <w:outlineLvl w:val="2"/>
    </w:pPr>
    <w:rPr>
      <w:rFonts w:ascii="Arial" w:hAnsi="Arial"/>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after="120"/>
    </w:pPr>
    <w:rPr>
      <w:rFonts w:ascii="L Univers 45 Light" w:eastAsia="Times" w:hAnsi="L Univers 45 Light"/>
    </w:rPr>
  </w:style>
  <w:style w:type="paragraph" w:customStyle="1" w:styleId="Expditeur">
    <w:name w:val="Expéditeur"/>
    <w:basedOn w:val="Normal"/>
    <w:pPr>
      <w:spacing w:after="200"/>
    </w:pPr>
    <w:rPr>
      <w:rFonts w:ascii="Arial" w:hAnsi="Arial"/>
      <w:sz w:val="12"/>
    </w:rPr>
  </w:style>
  <w:style w:type="paragraph" w:styleId="Textedebulles">
    <w:name w:val="Balloon Text"/>
    <w:basedOn w:val="Normal"/>
    <w:link w:val="TextedebullesCar"/>
    <w:rsid w:val="0072716D"/>
    <w:rPr>
      <w:rFonts w:ascii="Segoe UI" w:hAnsi="Segoe UI" w:cs="Segoe UI"/>
      <w:sz w:val="18"/>
      <w:szCs w:val="18"/>
    </w:rPr>
  </w:style>
  <w:style w:type="paragraph" w:customStyle="1" w:styleId="Lieuetdate">
    <w:name w:val="Lieu et date"/>
    <w:basedOn w:val="Normal"/>
    <w:pPr>
      <w:tabs>
        <w:tab w:val="right" w:pos="7795"/>
      </w:tabs>
      <w:spacing w:before="1000" w:after="300"/>
    </w:pPr>
    <w:rPr>
      <w:rFonts w:ascii="Arial" w:hAnsi="Arial"/>
    </w:rPr>
  </w:style>
  <w:style w:type="paragraph" w:customStyle="1" w:styleId="fonction">
    <w:name w:val="fonction"/>
    <w:basedOn w:val="Normal"/>
    <w:pPr>
      <w:spacing w:after="120"/>
    </w:pPr>
    <w:rPr>
      <w:rFonts w:ascii="Arial" w:hAnsi="Arial"/>
      <w:sz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639"/>
      </w:tabs>
    </w:pPr>
    <w:rPr>
      <w:rFonts w:ascii="Arial" w:hAnsi="Arial"/>
      <w:snapToGrid w:val="0"/>
      <w:sz w:val="15"/>
      <w:lang w:val="fr-CH"/>
    </w:rPr>
  </w:style>
  <w:style w:type="character" w:styleId="Numrodepage">
    <w:name w:val="page number"/>
    <w:basedOn w:val="Policepardfaut"/>
  </w:style>
  <w:style w:type="paragraph" w:customStyle="1" w:styleId="Concerne">
    <w:name w:val="Concerne"/>
    <w:basedOn w:val="Normal"/>
    <w:pPr>
      <w:spacing w:after="480" w:line="260" w:lineRule="atLeast"/>
      <w:jc w:val="both"/>
    </w:pPr>
    <w:rPr>
      <w:rFonts w:ascii="Arial" w:eastAsia="Times" w:hAnsi="Arial"/>
      <w:b/>
      <w:sz w:val="24"/>
    </w:rPr>
  </w:style>
  <w:style w:type="character" w:customStyle="1" w:styleId="TextedebullesCar">
    <w:name w:val="Texte de bulles Car"/>
    <w:link w:val="Textedebulles"/>
    <w:rsid w:val="0072716D"/>
    <w:rPr>
      <w:rFonts w:ascii="Segoe UI" w:hAnsi="Segoe UI" w:cs="Segoe UI"/>
      <w:sz w:val="18"/>
      <w:szCs w:val="18"/>
      <w:lang w:val="fr-FR" w:eastAsia="fr-FR"/>
    </w:rPr>
  </w:style>
  <w:style w:type="paragraph" w:customStyle="1" w:styleId="rfrence">
    <w:name w:val="référence"/>
    <w:basedOn w:val="Lieuetdate"/>
    <w:pPr>
      <w:spacing w:before="0" w:after="400"/>
    </w:pPr>
    <w:rPr>
      <w:sz w:val="15"/>
    </w:rPr>
  </w:style>
  <w:style w:type="paragraph" w:customStyle="1" w:styleId="dossiertraitpar">
    <w:name w:val="dossier traité par"/>
    <w:basedOn w:val="Lieuetdate"/>
    <w:pPr>
      <w:spacing w:before="0" w:after="0"/>
    </w:pPr>
    <w:rPr>
      <w:b/>
      <w:sz w:val="15"/>
    </w:rPr>
  </w:style>
  <w:style w:type="paragraph" w:customStyle="1" w:styleId="Texte1113">
    <w:name w:val="Texte 11/13"/>
    <w:basedOn w:val="Normal"/>
    <w:pPr>
      <w:spacing w:line="260" w:lineRule="atLeast"/>
      <w:jc w:val="both"/>
    </w:pPr>
    <w:rPr>
      <w:rFonts w:ascii="Arial" w:eastAsia="Times" w:hAnsi="Arial"/>
    </w:rPr>
  </w:style>
  <w:style w:type="paragraph" w:styleId="Notedebasdepage">
    <w:name w:val="footnote text"/>
    <w:basedOn w:val="Normal"/>
    <w:link w:val="NotedebasdepageCar"/>
    <w:rsid w:val="0078439B"/>
    <w:rPr>
      <w:sz w:val="20"/>
    </w:rPr>
  </w:style>
  <w:style w:type="character" w:customStyle="1" w:styleId="NotedebasdepageCar">
    <w:name w:val="Note de bas de page Car"/>
    <w:basedOn w:val="Policepardfaut"/>
    <w:link w:val="Notedebasdepage"/>
    <w:rsid w:val="0078439B"/>
    <w:rPr>
      <w:rFonts w:ascii="Arial (W1)" w:hAnsi="Arial (W1)"/>
      <w:lang w:val="fr-FR" w:eastAsia="fr-FR"/>
    </w:rPr>
  </w:style>
  <w:style w:type="character" w:styleId="Appelnotedebasdep">
    <w:name w:val="footnote reference"/>
    <w:basedOn w:val="Policepardfaut"/>
    <w:rsid w:val="007843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odeles\COM-WORD\a_asserment_CO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10CC9-499A-4C1F-AA4A-28A904AB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a_asserment_COM.dot</Template>
  <TotalTime>417</TotalTime>
  <Pages>2</Pages>
  <Words>470</Words>
  <Characters>2588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Service des communes, 2, rue du 24-Septembre, Delémont</vt:lpstr>
    </vt:vector>
  </TitlesOfParts>
  <Company>RCJU</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des communes, 2, rue du 24-Septembre, Delémont</dc:title>
  <dc:subject/>
  <dc:creator>com11</dc:creator>
  <cp:keywords/>
  <dc:description/>
  <cp:lastModifiedBy>Buchwalder Julien</cp:lastModifiedBy>
  <cp:revision>28</cp:revision>
  <cp:lastPrinted>2018-10-29T08:04:00Z</cp:lastPrinted>
  <dcterms:created xsi:type="dcterms:W3CDTF">2018-06-26T14:09:00Z</dcterms:created>
  <dcterms:modified xsi:type="dcterms:W3CDTF">2018-10-29T08:05:00Z</dcterms:modified>
</cp:coreProperties>
</file>