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DEBF1" w14:textId="77777777" w:rsidR="002052DA" w:rsidRDefault="002052DA" w:rsidP="002052DA">
      <w:pPr>
        <w:spacing w:after="0"/>
      </w:pPr>
      <w:r>
        <w:t xml:space="preserve">Commune de </w:t>
      </w:r>
      <w:r w:rsidRPr="00F92689">
        <w:rPr>
          <w:highlight w:val="yellow"/>
        </w:rPr>
        <w:t>[…]</w:t>
      </w:r>
    </w:p>
    <w:p w14:paraId="0BA149F5" w14:textId="77777777" w:rsidR="002052DA" w:rsidRDefault="002052DA" w:rsidP="002052DA">
      <w:pPr>
        <w:spacing w:after="0"/>
      </w:pPr>
      <w:r w:rsidRPr="00F92689">
        <w:rPr>
          <w:highlight w:val="yellow"/>
        </w:rPr>
        <w:t>[Adresse]</w:t>
      </w:r>
    </w:p>
    <w:p w14:paraId="459EE178" w14:textId="77777777" w:rsidR="002052DA" w:rsidRDefault="002052DA" w:rsidP="002052DA">
      <w:r w:rsidRPr="00F92689">
        <w:rPr>
          <w:highlight w:val="yellow"/>
        </w:rPr>
        <w:t>[Code postal et localité]</w:t>
      </w:r>
    </w:p>
    <w:p w14:paraId="7B3C8B89" w14:textId="77777777" w:rsidR="002052DA" w:rsidRDefault="002052DA" w:rsidP="002052DA"/>
    <w:p w14:paraId="5CC209E5" w14:textId="77777777" w:rsidR="002052DA" w:rsidRDefault="002052DA" w:rsidP="002052DA"/>
    <w:p w14:paraId="4A6D0B89" w14:textId="20A68CAD" w:rsidR="000826C8" w:rsidRPr="00B457EE" w:rsidRDefault="002052DA" w:rsidP="002052DA">
      <w:pPr>
        <w:spacing w:after="0"/>
        <w:rPr>
          <w:b/>
        </w:rPr>
      </w:pPr>
      <w:r>
        <w:tab/>
      </w:r>
      <w:r>
        <w:tab/>
      </w:r>
      <w:r>
        <w:tab/>
      </w:r>
      <w:r>
        <w:tab/>
      </w:r>
      <w:r>
        <w:tab/>
      </w:r>
      <w:r>
        <w:tab/>
      </w:r>
      <w:r>
        <w:tab/>
      </w:r>
      <w:r>
        <w:tab/>
      </w:r>
      <w:r>
        <w:tab/>
      </w:r>
      <w:r w:rsidR="000826C8" w:rsidRPr="00B457EE">
        <w:rPr>
          <w:b/>
        </w:rPr>
        <w:t>Recommandé</w:t>
      </w:r>
    </w:p>
    <w:p w14:paraId="1B026B3D" w14:textId="563856F6" w:rsidR="002052DA" w:rsidRDefault="002052DA" w:rsidP="00B457EE">
      <w:pPr>
        <w:spacing w:after="0"/>
        <w:ind w:left="5664" w:firstLine="708"/>
      </w:pPr>
      <w:r w:rsidRPr="00F92689">
        <w:rPr>
          <w:highlight w:val="yellow"/>
        </w:rPr>
        <w:t>[Nom et prénom]</w:t>
      </w:r>
    </w:p>
    <w:p w14:paraId="46D8BCDB" w14:textId="77777777" w:rsidR="002052DA" w:rsidRDefault="002052DA" w:rsidP="002052DA">
      <w:pPr>
        <w:spacing w:after="0"/>
      </w:pPr>
      <w:r>
        <w:tab/>
      </w:r>
      <w:r>
        <w:tab/>
      </w:r>
      <w:r>
        <w:tab/>
      </w:r>
      <w:r>
        <w:tab/>
      </w:r>
      <w:r>
        <w:tab/>
      </w:r>
      <w:r>
        <w:tab/>
      </w:r>
      <w:r>
        <w:tab/>
      </w:r>
      <w:r>
        <w:tab/>
      </w:r>
      <w:r>
        <w:tab/>
      </w:r>
      <w:r w:rsidRPr="00F92689">
        <w:rPr>
          <w:highlight w:val="yellow"/>
        </w:rPr>
        <w:t>[Adresse]</w:t>
      </w:r>
    </w:p>
    <w:p w14:paraId="03D1F228" w14:textId="77777777" w:rsidR="002052DA" w:rsidRPr="008234C8" w:rsidRDefault="002052DA" w:rsidP="002052DA">
      <w:r>
        <w:tab/>
      </w:r>
      <w:r>
        <w:tab/>
      </w:r>
      <w:r>
        <w:tab/>
      </w:r>
      <w:r>
        <w:tab/>
      </w:r>
      <w:r>
        <w:tab/>
      </w:r>
      <w:r>
        <w:tab/>
      </w:r>
      <w:r>
        <w:tab/>
      </w:r>
      <w:r>
        <w:tab/>
      </w:r>
      <w:r>
        <w:tab/>
      </w:r>
      <w:r w:rsidRPr="00F92689">
        <w:rPr>
          <w:highlight w:val="yellow"/>
        </w:rPr>
        <w:t>[Code postal et localité]</w:t>
      </w:r>
    </w:p>
    <w:p w14:paraId="28439EC8" w14:textId="77777777" w:rsidR="002052DA" w:rsidRDefault="002052DA" w:rsidP="002052DA"/>
    <w:p w14:paraId="452F259D" w14:textId="77777777" w:rsidR="002052DA" w:rsidRDefault="002052DA" w:rsidP="002052DA">
      <w:r>
        <w:tab/>
      </w:r>
      <w:r>
        <w:tab/>
      </w:r>
      <w:r>
        <w:tab/>
      </w:r>
      <w:r>
        <w:tab/>
      </w:r>
      <w:r>
        <w:tab/>
      </w:r>
      <w:r>
        <w:tab/>
      </w:r>
      <w:r>
        <w:tab/>
      </w:r>
      <w:r>
        <w:tab/>
      </w:r>
      <w:r>
        <w:tab/>
      </w:r>
      <w:r w:rsidRPr="00E14018">
        <w:rPr>
          <w:highlight w:val="yellow"/>
        </w:rPr>
        <w:t>[Commune]</w:t>
      </w:r>
      <w:r>
        <w:t xml:space="preserve">, le </w:t>
      </w:r>
      <w:r w:rsidRPr="00E14018">
        <w:rPr>
          <w:highlight w:val="yellow"/>
        </w:rPr>
        <w:t>[date]</w:t>
      </w:r>
    </w:p>
    <w:p w14:paraId="3CC2D266" w14:textId="77777777" w:rsidR="002052DA" w:rsidRDefault="002052DA" w:rsidP="002052DA"/>
    <w:p w14:paraId="190E6F25" w14:textId="77777777" w:rsidR="002052DA" w:rsidRDefault="002052DA" w:rsidP="002052DA"/>
    <w:p w14:paraId="59CA9AFB" w14:textId="77777777" w:rsidR="00FC65EC" w:rsidRPr="002052DA" w:rsidRDefault="002052DA" w:rsidP="002052DA">
      <w:pPr>
        <w:spacing w:after="480" w:line="260" w:lineRule="atLeast"/>
        <w:jc w:val="left"/>
        <w:rPr>
          <w:rFonts w:eastAsia="Times"/>
          <w:b/>
          <w:bCs/>
          <w:sz w:val="24"/>
          <w:szCs w:val="24"/>
          <w:lang w:eastAsia="fr-CH"/>
        </w:rPr>
      </w:pPr>
      <w:r w:rsidRPr="0078221C">
        <w:rPr>
          <w:rFonts w:eastAsia="Times"/>
          <w:b/>
          <w:bCs/>
          <w:sz w:val="24"/>
          <w:szCs w:val="24"/>
          <w:lang w:eastAsia="fr-CH"/>
        </w:rPr>
        <w:t>Décision</w:t>
      </w:r>
      <w:r>
        <w:rPr>
          <w:rFonts w:eastAsia="Times"/>
          <w:b/>
          <w:bCs/>
          <w:sz w:val="24"/>
          <w:szCs w:val="24"/>
          <w:lang w:eastAsia="fr-CH"/>
        </w:rPr>
        <w:t xml:space="preserve"> sur opposition</w:t>
      </w:r>
      <w:r w:rsidRPr="0078221C">
        <w:rPr>
          <w:rFonts w:eastAsia="Times"/>
          <w:b/>
          <w:bCs/>
          <w:sz w:val="24"/>
          <w:szCs w:val="24"/>
          <w:lang w:eastAsia="fr-CH"/>
        </w:rPr>
        <w:t xml:space="preserve"> relative </w:t>
      </w:r>
      <w:r>
        <w:rPr>
          <w:rFonts w:eastAsia="Times"/>
          <w:b/>
          <w:bCs/>
          <w:sz w:val="24"/>
          <w:szCs w:val="24"/>
          <w:lang w:eastAsia="fr-CH"/>
        </w:rPr>
        <w:t xml:space="preserve">à l’exercice du droit d’emption légal en faveur de la commune de </w:t>
      </w:r>
      <w:r w:rsidRPr="0080605E">
        <w:rPr>
          <w:rFonts w:eastAsia="Times"/>
          <w:b/>
          <w:bCs/>
          <w:sz w:val="24"/>
          <w:szCs w:val="24"/>
          <w:highlight w:val="yellow"/>
          <w:lang w:eastAsia="fr-CH"/>
        </w:rPr>
        <w:t>[…]</w:t>
      </w:r>
      <w:r>
        <w:rPr>
          <w:rFonts w:eastAsia="Times"/>
          <w:b/>
          <w:bCs/>
          <w:sz w:val="24"/>
          <w:szCs w:val="24"/>
          <w:lang w:eastAsia="fr-CH"/>
        </w:rPr>
        <w:t xml:space="preserve"> sur la parcelle n°</w:t>
      </w:r>
      <w:r w:rsidRPr="0078221C">
        <w:rPr>
          <w:rFonts w:eastAsia="Times"/>
          <w:b/>
          <w:bCs/>
          <w:sz w:val="24"/>
          <w:szCs w:val="24"/>
          <w:highlight w:val="yellow"/>
          <w:lang w:eastAsia="fr-CH"/>
        </w:rPr>
        <w:t>[…]</w:t>
      </w:r>
      <w:r>
        <w:rPr>
          <w:rFonts w:eastAsia="Times"/>
          <w:b/>
          <w:bCs/>
          <w:sz w:val="24"/>
          <w:szCs w:val="24"/>
          <w:lang w:eastAsia="fr-CH"/>
        </w:rPr>
        <w:t xml:space="preserve"> du ban de </w:t>
      </w:r>
      <w:r w:rsidRPr="00192A4F">
        <w:rPr>
          <w:rFonts w:eastAsia="Times"/>
          <w:b/>
          <w:bCs/>
          <w:sz w:val="24"/>
          <w:szCs w:val="24"/>
          <w:highlight w:val="yellow"/>
          <w:lang w:eastAsia="fr-CH"/>
        </w:rPr>
        <w:t>[…]</w:t>
      </w:r>
    </w:p>
    <w:p w14:paraId="4CA88665" w14:textId="77777777" w:rsidR="00FC65EC" w:rsidRPr="004763D4" w:rsidRDefault="00FC65EC" w:rsidP="00EA5458">
      <w:pPr>
        <w:pStyle w:val="Paragraphe1113"/>
        <w:rPr>
          <w:rFonts w:ascii="Arial" w:hAnsi="Arial"/>
          <w:b/>
        </w:rPr>
      </w:pPr>
      <w:r w:rsidRPr="004763D4">
        <w:rPr>
          <w:rFonts w:ascii="Arial" w:hAnsi="Arial"/>
          <w:b/>
        </w:rPr>
        <w:t>Décision</w:t>
      </w:r>
    </w:p>
    <w:p w14:paraId="7838AA27" w14:textId="35860361" w:rsidR="00FC65EC" w:rsidRPr="004763D4" w:rsidRDefault="00E95788" w:rsidP="004763D4">
      <w:pPr>
        <w:spacing w:after="0" w:line="260" w:lineRule="atLeast"/>
        <w:rPr>
          <w:rFonts w:eastAsia="Times"/>
          <w:lang w:val="fr-FR" w:eastAsia="fr-FR"/>
        </w:rPr>
      </w:pPr>
      <w:r w:rsidRPr="004763D4">
        <w:rPr>
          <w:rFonts w:eastAsia="Times"/>
          <w:lang w:val="fr-FR" w:eastAsia="fr-FR"/>
        </w:rPr>
        <w:t>P</w:t>
      </w:r>
      <w:r w:rsidR="00FC65EC" w:rsidRPr="004763D4">
        <w:rPr>
          <w:rFonts w:eastAsia="Times"/>
          <w:lang w:val="fr-FR" w:eastAsia="fr-FR"/>
        </w:rPr>
        <w:t xml:space="preserve">ar décision </w:t>
      </w:r>
      <w:r w:rsidR="00EA5458" w:rsidRPr="004763D4">
        <w:rPr>
          <w:rFonts w:eastAsia="Times"/>
          <w:lang w:val="fr-FR" w:eastAsia="fr-FR"/>
        </w:rPr>
        <w:t xml:space="preserve">du </w:t>
      </w:r>
      <w:r w:rsidRPr="004763D4">
        <w:rPr>
          <w:rFonts w:eastAsia="Times"/>
          <w:highlight w:val="yellow"/>
          <w:lang w:val="fr-FR" w:eastAsia="fr-FR"/>
        </w:rPr>
        <w:t>[date</w:t>
      </w:r>
      <w:r w:rsidR="00EA5458" w:rsidRPr="004763D4">
        <w:rPr>
          <w:rFonts w:eastAsia="Times"/>
          <w:highlight w:val="yellow"/>
          <w:lang w:val="fr-FR" w:eastAsia="fr-FR"/>
        </w:rPr>
        <w:t>]</w:t>
      </w:r>
      <w:r w:rsidR="00EA5458" w:rsidRPr="004763D4">
        <w:rPr>
          <w:rFonts w:eastAsia="Times"/>
          <w:lang w:val="fr-FR" w:eastAsia="fr-FR"/>
        </w:rPr>
        <w:t xml:space="preserve"> </w:t>
      </w:r>
      <w:r w:rsidR="00163C3B">
        <w:rPr>
          <w:rFonts w:eastAsia="Times"/>
          <w:lang w:val="fr-FR" w:eastAsia="fr-FR"/>
        </w:rPr>
        <w:t>fondée sur les art.</w:t>
      </w:r>
      <w:r w:rsidR="00FC65EC" w:rsidRPr="004763D4">
        <w:rPr>
          <w:rFonts w:eastAsia="Times"/>
          <w:lang w:val="fr-FR" w:eastAsia="fr-FR"/>
        </w:rPr>
        <w:t xml:space="preserve"> 15 et 15a de loi fédérale sur l’aménagement du territoire</w:t>
      </w:r>
      <w:r w:rsidR="00163C3B">
        <w:rPr>
          <w:rFonts w:eastAsia="Times"/>
          <w:lang w:val="fr-FR" w:eastAsia="fr-FR"/>
        </w:rPr>
        <w:t xml:space="preserve"> (LAT ; RS 700) et sur l’art.</w:t>
      </w:r>
      <w:r w:rsidR="00FC65EC" w:rsidRPr="004763D4">
        <w:rPr>
          <w:rFonts w:eastAsia="Times"/>
          <w:lang w:val="fr-FR" w:eastAsia="fr-FR"/>
        </w:rPr>
        <w:t xml:space="preserve"> 45b de la loi sur les constructions et l’aménagement du territoire (LCAT ; RSJU 701.1), </w:t>
      </w:r>
      <w:r w:rsidRPr="004763D4">
        <w:rPr>
          <w:rFonts w:eastAsia="Times"/>
          <w:lang w:val="fr-FR" w:eastAsia="fr-FR"/>
        </w:rPr>
        <w:t xml:space="preserve">le Conseil communal de </w:t>
      </w:r>
      <w:r w:rsidRPr="004763D4">
        <w:rPr>
          <w:rFonts w:eastAsia="Times"/>
          <w:highlight w:val="yellow"/>
          <w:lang w:val="fr-FR" w:eastAsia="fr-FR"/>
        </w:rPr>
        <w:t>[…]</w:t>
      </w:r>
      <w:r w:rsidRPr="004763D4">
        <w:rPr>
          <w:rFonts w:eastAsia="Times"/>
          <w:lang w:val="fr-FR" w:eastAsia="fr-FR"/>
        </w:rPr>
        <w:t xml:space="preserve"> a décidé </w:t>
      </w:r>
      <w:r w:rsidR="002052DA" w:rsidRPr="004763D4">
        <w:rPr>
          <w:rFonts w:eastAsia="Times"/>
          <w:lang w:val="fr-FR" w:eastAsia="fr-FR"/>
        </w:rPr>
        <w:t>d’exercer son</w:t>
      </w:r>
      <w:r w:rsidR="00FC65EC" w:rsidRPr="004763D4">
        <w:rPr>
          <w:rFonts w:eastAsia="Times"/>
          <w:lang w:val="fr-FR" w:eastAsia="fr-FR"/>
        </w:rPr>
        <w:t xml:space="preserve"> droit d’emption </w:t>
      </w:r>
      <w:r w:rsidR="002052DA" w:rsidRPr="004763D4">
        <w:rPr>
          <w:rFonts w:eastAsia="Times"/>
          <w:lang w:val="fr-FR" w:eastAsia="fr-FR"/>
        </w:rPr>
        <w:t xml:space="preserve">légal </w:t>
      </w:r>
      <w:r w:rsidR="00FC65EC" w:rsidRPr="004763D4">
        <w:rPr>
          <w:rFonts w:eastAsia="Times"/>
          <w:lang w:val="fr-FR" w:eastAsia="fr-FR"/>
        </w:rPr>
        <w:t>sur la parcelle n°</w:t>
      </w:r>
      <w:r w:rsidR="00FC65EC" w:rsidRPr="004763D4">
        <w:rPr>
          <w:rFonts w:eastAsia="Times"/>
          <w:highlight w:val="yellow"/>
          <w:lang w:val="fr-FR" w:eastAsia="fr-FR"/>
        </w:rPr>
        <w:t>[…]</w:t>
      </w:r>
      <w:r w:rsidR="00FC65EC" w:rsidRPr="004763D4">
        <w:rPr>
          <w:rFonts w:eastAsia="Times"/>
          <w:lang w:val="fr-FR" w:eastAsia="fr-FR"/>
        </w:rPr>
        <w:t xml:space="preserve"> appartenant à </w:t>
      </w:r>
      <w:r w:rsidR="00FC65EC" w:rsidRPr="004763D4">
        <w:rPr>
          <w:rFonts w:eastAsia="Times"/>
          <w:highlight w:val="yellow"/>
          <w:lang w:val="fr-FR" w:eastAsia="fr-FR"/>
        </w:rPr>
        <w:t>[…]</w:t>
      </w:r>
      <w:r w:rsidR="00FC65EC" w:rsidRPr="004763D4">
        <w:rPr>
          <w:rFonts w:eastAsia="Times"/>
          <w:lang w:val="fr-FR" w:eastAsia="fr-FR"/>
        </w:rPr>
        <w:t>.</w:t>
      </w:r>
    </w:p>
    <w:p w14:paraId="30E495BA" w14:textId="77777777" w:rsidR="00EA5458" w:rsidRPr="004763D4" w:rsidRDefault="00EA5458" w:rsidP="00EA5458">
      <w:pPr>
        <w:pStyle w:val="Paragraphe1113"/>
        <w:numPr>
          <w:ilvl w:val="0"/>
          <w:numId w:val="0"/>
        </w:numPr>
        <w:rPr>
          <w:rFonts w:ascii="Arial" w:hAnsi="Arial"/>
          <w:b/>
        </w:rPr>
      </w:pPr>
    </w:p>
    <w:p w14:paraId="4C50C847" w14:textId="77777777" w:rsidR="00EA5458" w:rsidRPr="004763D4" w:rsidRDefault="00EA5458" w:rsidP="00EA5458">
      <w:pPr>
        <w:pStyle w:val="Paragraphe1113"/>
        <w:rPr>
          <w:rFonts w:ascii="Arial" w:hAnsi="Arial"/>
          <w:b/>
        </w:rPr>
      </w:pPr>
      <w:r w:rsidRPr="004763D4">
        <w:rPr>
          <w:rFonts w:ascii="Arial" w:hAnsi="Arial"/>
          <w:b/>
        </w:rPr>
        <w:t>Opposition</w:t>
      </w:r>
    </w:p>
    <w:p w14:paraId="52201F1D" w14:textId="77777777" w:rsidR="00FC65EC" w:rsidRPr="004763D4" w:rsidRDefault="00FC65EC" w:rsidP="004763D4">
      <w:pPr>
        <w:spacing w:after="0" w:line="260" w:lineRule="atLeast"/>
        <w:rPr>
          <w:rFonts w:eastAsia="Times"/>
          <w:lang w:val="fr-FR" w:eastAsia="fr-FR"/>
        </w:rPr>
      </w:pPr>
      <w:r w:rsidRPr="004763D4">
        <w:rPr>
          <w:rFonts w:eastAsia="Times"/>
          <w:lang w:val="fr-FR" w:eastAsia="fr-FR"/>
        </w:rPr>
        <w:t xml:space="preserve">Par </w:t>
      </w:r>
      <w:r w:rsidR="00EA5458" w:rsidRPr="004763D4">
        <w:rPr>
          <w:rFonts w:eastAsia="Times"/>
          <w:lang w:val="fr-FR" w:eastAsia="fr-FR"/>
        </w:rPr>
        <w:t>courrier</w:t>
      </w:r>
      <w:r w:rsidRPr="004763D4">
        <w:rPr>
          <w:rFonts w:eastAsia="Times"/>
          <w:lang w:val="fr-FR" w:eastAsia="fr-FR"/>
        </w:rPr>
        <w:t xml:space="preserve"> du </w:t>
      </w:r>
      <w:r w:rsidRPr="004763D4">
        <w:rPr>
          <w:rFonts w:eastAsia="Times"/>
          <w:highlight w:val="yellow"/>
          <w:lang w:val="fr-FR" w:eastAsia="fr-FR"/>
        </w:rPr>
        <w:t>[…]</w:t>
      </w:r>
      <w:r w:rsidRPr="004763D4">
        <w:rPr>
          <w:rFonts w:eastAsia="Times"/>
          <w:lang w:val="fr-FR" w:eastAsia="fr-FR"/>
        </w:rPr>
        <w:t xml:space="preserve">, soit dans le délai utile, </w:t>
      </w:r>
      <w:r w:rsidRPr="004763D4">
        <w:rPr>
          <w:rFonts w:eastAsia="Times"/>
          <w:highlight w:val="yellow"/>
          <w:lang w:val="fr-FR" w:eastAsia="fr-FR"/>
        </w:rPr>
        <w:t>Monsieur / Madame […]</w:t>
      </w:r>
      <w:r w:rsidRPr="004763D4">
        <w:rPr>
          <w:rFonts w:eastAsia="Times"/>
          <w:lang w:val="fr-FR" w:eastAsia="fr-FR"/>
        </w:rPr>
        <w:t>, propriétaire de la parcelle n°</w:t>
      </w:r>
      <w:r w:rsidRPr="004763D4">
        <w:rPr>
          <w:rFonts w:eastAsia="Times"/>
          <w:highlight w:val="yellow"/>
          <w:lang w:val="fr-FR" w:eastAsia="fr-FR"/>
        </w:rPr>
        <w:t>[…]</w:t>
      </w:r>
      <w:r w:rsidRPr="004763D4">
        <w:rPr>
          <w:rFonts w:eastAsia="Times"/>
          <w:lang w:val="fr-FR" w:eastAsia="fr-FR"/>
        </w:rPr>
        <w:t xml:space="preserve"> (ci-après : </w:t>
      </w:r>
      <w:r w:rsidR="0087533F" w:rsidRPr="004763D4">
        <w:rPr>
          <w:rFonts w:eastAsia="Times"/>
          <w:lang w:val="fr-FR" w:eastAsia="fr-FR"/>
        </w:rPr>
        <w:t>la partie opposante</w:t>
      </w:r>
      <w:r w:rsidRPr="004763D4">
        <w:rPr>
          <w:rFonts w:eastAsia="Times"/>
          <w:lang w:val="fr-FR" w:eastAsia="fr-FR"/>
        </w:rPr>
        <w:t>)</w:t>
      </w:r>
      <w:r w:rsidR="00DF36B5" w:rsidRPr="004763D4">
        <w:rPr>
          <w:rFonts w:eastAsia="Times"/>
          <w:lang w:val="fr-FR" w:eastAsia="fr-FR"/>
        </w:rPr>
        <w:t>,</w:t>
      </w:r>
      <w:r w:rsidR="005B324B">
        <w:rPr>
          <w:rFonts w:eastAsia="Times"/>
          <w:lang w:val="fr-FR" w:eastAsia="fr-FR"/>
        </w:rPr>
        <w:t xml:space="preserve"> </w:t>
      </w:r>
      <w:r w:rsidRPr="004763D4">
        <w:rPr>
          <w:rFonts w:eastAsia="Times"/>
          <w:lang w:val="fr-FR" w:eastAsia="fr-FR"/>
        </w:rPr>
        <w:t xml:space="preserve">a formé opposition à la décision </w:t>
      </w:r>
      <w:r w:rsidR="00EA5458" w:rsidRPr="004763D4">
        <w:rPr>
          <w:rFonts w:eastAsia="Times"/>
          <w:lang w:val="fr-FR" w:eastAsia="fr-FR"/>
        </w:rPr>
        <w:t>susmentionnée.</w:t>
      </w:r>
    </w:p>
    <w:p w14:paraId="355674C7" w14:textId="77777777" w:rsidR="00FC65EC" w:rsidRPr="004763D4" w:rsidRDefault="00FC65EC" w:rsidP="00FC65EC">
      <w:pPr>
        <w:spacing w:after="0" w:line="260" w:lineRule="atLeast"/>
        <w:ind w:left="709"/>
        <w:rPr>
          <w:rFonts w:eastAsia="Times"/>
          <w:lang w:val="fr-FR" w:eastAsia="fr-FR"/>
        </w:rPr>
      </w:pPr>
    </w:p>
    <w:p w14:paraId="50CAB695" w14:textId="77777777" w:rsidR="00EA5458" w:rsidRDefault="00EA5458" w:rsidP="004763D4">
      <w:pPr>
        <w:pStyle w:val="Texte1113"/>
      </w:pPr>
      <w:r w:rsidRPr="004763D4">
        <w:t>En substance, l’opposition porte sur les points suivants :</w:t>
      </w:r>
    </w:p>
    <w:p w14:paraId="0BCB4621" w14:textId="77777777" w:rsidR="005B324B" w:rsidRPr="004763D4" w:rsidRDefault="005B324B" w:rsidP="004763D4">
      <w:pPr>
        <w:pStyle w:val="Lettre1113"/>
        <w:rPr>
          <w:highlight w:val="yellow"/>
        </w:rPr>
      </w:pPr>
      <w:r w:rsidRPr="004763D4">
        <w:rPr>
          <w:highlight w:val="yellow"/>
        </w:rPr>
        <w:t>Premier motif d’opposition</w:t>
      </w:r>
    </w:p>
    <w:p w14:paraId="104E04DB" w14:textId="77777777" w:rsidR="005B324B" w:rsidRPr="004763D4" w:rsidRDefault="005B324B" w:rsidP="004763D4">
      <w:pPr>
        <w:pStyle w:val="Lettre1113"/>
        <w:rPr>
          <w:highlight w:val="yellow"/>
        </w:rPr>
      </w:pPr>
      <w:r w:rsidRPr="004763D4">
        <w:rPr>
          <w:highlight w:val="yellow"/>
        </w:rPr>
        <w:t>Deuxième motif d’opposition</w:t>
      </w:r>
    </w:p>
    <w:p w14:paraId="1C1D0720" w14:textId="77777777" w:rsidR="005B324B" w:rsidRPr="004763D4" w:rsidRDefault="005B324B" w:rsidP="004763D4">
      <w:pPr>
        <w:pStyle w:val="Lettre1113"/>
        <w:rPr>
          <w:highlight w:val="yellow"/>
        </w:rPr>
      </w:pPr>
      <w:r w:rsidRPr="004763D4">
        <w:rPr>
          <w:highlight w:val="yellow"/>
        </w:rPr>
        <w:t>Troisième motif d’opposition</w:t>
      </w:r>
    </w:p>
    <w:p w14:paraId="20A707A1" w14:textId="77777777" w:rsidR="00FC65EC" w:rsidRPr="004763D4" w:rsidRDefault="00FC65EC" w:rsidP="00FC65EC">
      <w:pPr>
        <w:spacing w:after="0" w:line="260" w:lineRule="atLeast"/>
        <w:rPr>
          <w:rFonts w:eastAsia="Times"/>
          <w:lang w:val="fr-FR" w:eastAsia="fr-FR"/>
        </w:rPr>
      </w:pPr>
    </w:p>
    <w:p w14:paraId="42DC7D63" w14:textId="77777777" w:rsidR="00EA5458" w:rsidRPr="004763D4" w:rsidRDefault="0087533F" w:rsidP="004763D4">
      <w:pPr>
        <w:pStyle w:val="Paragraphe1113"/>
        <w:rPr>
          <w:rFonts w:ascii="Arial" w:hAnsi="Arial"/>
        </w:rPr>
      </w:pPr>
      <w:r w:rsidRPr="004763D4">
        <w:rPr>
          <w:rFonts w:ascii="Arial" w:hAnsi="Arial"/>
          <w:b/>
        </w:rPr>
        <w:t>Traitement de l’opposition</w:t>
      </w:r>
      <w:r w:rsidR="00EA5458" w:rsidRPr="004763D4">
        <w:rPr>
          <w:rFonts w:ascii="Arial" w:hAnsi="Arial"/>
          <w:b/>
        </w:rPr>
        <w:t xml:space="preserve"> </w:t>
      </w:r>
      <w:r w:rsidRPr="004763D4">
        <w:rPr>
          <w:b/>
        </w:rPr>
        <w:tab/>
      </w:r>
    </w:p>
    <w:p w14:paraId="1FC306E6" w14:textId="77777777" w:rsidR="00EA5458" w:rsidRPr="004763D4" w:rsidRDefault="005B324B" w:rsidP="004763D4">
      <w:pPr>
        <w:pStyle w:val="Lettre1113"/>
        <w:rPr>
          <w:highlight w:val="yellow"/>
        </w:rPr>
      </w:pPr>
      <w:r w:rsidRPr="004763D4">
        <w:rPr>
          <w:highlight w:val="yellow"/>
        </w:rPr>
        <w:t>Traitement du premier motif d’opposition</w:t>
      </w:r>
    </w:p>
    <w:p w14:paraId="17EC676B" w14:textId="77777777" w:rsidR="005B324B" w:rsidRPr="004763D4" w:rsidRDefault="005B324B" w:rsidP="004763D4">
      <w:pPr>
        <w:pStyle w:val="Lettre1113"/>
        <w:rPr>
          <w:highlight w:val="yellow"/>
        </w:rPr>
      </w:pPr>
      <w:r w:rsidRPr="004763D4">
        <w:rPr>
          <w:highlight w:val="yellow"/>
        </w:rPr>
        <w:t>Traitement du deuxième motif d’opposition</w:t>
      </w:r>
    </w:p>
    <w:p w14:paraId="634840BF" w14:textId="77777777" w:rsidR="005B324B" w:rsidRPr="004763D4" w:rsidRDefault="005B324B" w:rsidP="004763D4">
      <w:pPr>
        <w:pStyle w:val="Lettre1113"/>
        <w:rPr>
          <w:highlight w:val="yellow"/>
        </w:rPr>
      </w:pPr>
      <w:r w:rsidRPr="004763D4">
        <w:rPr>
          <w:highlight w:val="yellow"/>
        </w:rPr>
        <w:t>Traitement du troisième motif d’opposition</w:t>
      </w:r>
    </w:p>
    <w:p w14:paraId="65E8C729" w14:textId="77777777" w:rsidR="0087533F" w:rsidRPr="004763D4" w:rsidRDefault="0087533F" w:rsidP="00FC65EC">
      <w:pPr>
        <w:keepNext/>
        <w:tabs>
          <w:tab w:val="num" w:pos="709"/>
        </w:tabs>
        <w:spacing w:after="40" w:line="260" w:lineRule="atLeast"/>
        <w:ind w:left="709" w:hanging="709"/>
        <w:rPr>
          <w:rFonts w:eastAsia="Times"/>
          <w:b/>
          <w:lang w:val="fr-FR" w:eastAsia="fr-FR"/>
        </w:rPr>
      </w:pPr>
    </w:p>
    <w:p w14:paraId="2E2D5FB0" w14:textId="77777777" w:rsidR="00EA5458" w:rsidRPr="004763D4" w:rsidRDefault="00EA5458" w:rsidP="00EA5458">
      <w:pPr>
        <w:pStyle w:val="Paragraphe1113"/>
        <w:rPr>
          <w:rFonts w:ascii="Arial" w:hAnsi="Arial"/>
          <w:b/>
        </w:rPr>
      </w:pPr>
      <w:r w:rsidRPr="004763D4">
        <w:rPr>
          <w:rFonts w:ascii="Arial" w:hAnsi="Arial"/>
          <w:b/>
        </w:rPr>
        <w:t>Conclusion</w:t>
      </w:r>
    </w:p>
    <w:p w14:paraId="1DBCBD14" w14:textId="77777777" w:rsidR="00EA5458" w:rsidRDefault="00EA5458" w:rsidP="004763D4">
      <w:pPr>
        <w:pStyle w:val="Texte1113"/>
        <w:numPr>
          <w:ilvl w:val="6"/>
          <w:numId w:val="8"/>
        </w:numPr>
      </w:pPr>
      <w:r w:rsidRPr="004763D4">
        <w:t xml:space="preserve">Au vu de ce qui précède, l’opposition est </w:t>
      </w:r>
      <w:r w:rsidRPr="0095262B">
        <w:rPr>
          <w:highlight w:val="yellow"/>
        </w:rPr>
        <w:t>rejetée</w:t>
      </w:r>
      <w:r w:rsidRPr="004763D4">
        <w:t>.</w:t>
      </w:r>
    </w:p>
    <w:p w14:paraId="6CAE6F72" w14:textId="77777777" w:rsidR="0087533F" w:rsidRPr="004763D4" w:rsidRDefault="0087533F" w:rsidP="004763D4">
      <w:pPr>
        <w:pStyle w:val="Texte1113"/>
      </w:pPr>
    </w:p>
    <w:p w14:paraId="7AF657AE" w14:textId="77777777" w:rsidR="0087533F" w:rsidRDefault="00710112" w:rsidP="004763D4">
      <w:pPr>
        <w:pStyle w:val="Texte1113"/>
        <w:numPr>
          <w:ilvl w:val="6"/>
          <w:numId w:val="8"/>
        </w:numPr>
      </w:pPr>
      <w:r w:rsidRPr="004763D4">
        <w:t>Partant, la décision du</w:t>
      </w:r>
      <w:r w:rsidR="002052DA" w:rsidRPr="004763D4">
        <w:t xml:space="preserve"> </w:t>
      </w:r>
      <w:r w:rsidR="002052DA" w:rsidRPr="004763D4">
        <w:rPr>
          <w:highlight w:val="yellow"/>
        </w:rPr>
        <w:t>[date]</w:t>
      </w:r>
      <w:r w:rsidRPr="004763D4">
        <w:t xml:space="preserve"> </w:t>
      </w:r>
      <w:r w:rsidR="002052DA" w:rsidRPr="004763D4">
        <w:t xml:space="preserve">relative à l’exercice du droit d’emption légal en faveur de la commune de </w:t>
      </w:r>
      <w:r w:rsidR="002052DA" w:rsidRPr="004763D4">
        <w:rPr>
          <w:highlight w:val="yellow"/>
        </w:rPr>
        <w:t>[…]</w:t>
      </w:r>
      <w:r w:rsidR="002052DA" w:rsidRPr="004763D4">
        <w:t xml:space="preserve"> sur la parcelle n°</w:t>
      </w:r>
      <w:r w:rsidR="002052DA" w:rsidRPr="004763D4">
        <w:rPr>
          <w:highlight w:val="yellow"/>
        </w:rPr>
        <w:t>[…]</w:t>
      </w:r>
      <w:r w:rsidR="002052DA" w:rsidRPr="004763D4">
        <w:t xml:space="preserve"> du ban de </w:t>
      </w:r>
      <w:r w:rsidR="002052DA" w:rsidRPr="004763D4">
        <w:rPr>
          <w:highlight w:val="yellow"/>
        </w:rPr>
        <w:t>[…]</w:t>
      </w:r>
      <w:r w:rsidRPr="004763D4">
        <w:t xml:space="preserve"> est </w:t>
      </w:r>
      <w:r w:rsidRPr="0095262B">
        <w:rPr>
          <w:highlight w:val="yellow"/>
        </w:rPr>
        <w:t>confirmée</w:t>
      </w:r>
      <w:r w:rsidRPr="004763D4">
        <w:t>.</w:t>
      </w:r>
    </w:p>
    <w:p w14:paraId="578EA45F" w14:textId="77777777" w:rsidR="0087533F" w:rsidRPr="004763D4" w:rsidRDefault="0087533F" w:rsidP="004763D4">
      <w:pPr>
        <w:pStyle w:val="Texte1113"/>
      </w:pPr>
    </w:p>
    <w:p w14:paraId="1644BB96" w14:textId="77777777" w:rsidR="005B324B" w:rsidRDefault="00FC65EC" w:rsidP="004763D4">
      <w:pPr>
        <w:pStyle w:val="Texte1113"/>
        <w:numPr>
          <w:ilvl w:val="6"/>
          <w:numId w:val="8"/>
        </w:numPr>
      </w:pPr>
      <w:r w:rsidRPr="004763D4">
        <w:lastRenderedPageBreak/>
        <w:t xml:space="preserve">La présente décision peut faire l'objet d'un recours par écrit devant </w:t>
      </w:r>
      <w:r w:rsidR="00710112" w:rsidRPr="004763D4">
        <w:t>le juge</w:t>
      </w:r>
      <w:r w:rsidRPr="004763D4">
        <w:t xml:space="preserve"> administrati</w:t>
      </w:r>
      <w:r w:rsidR="00710112" w:rsidRPr="004763D4">
        <w:t>f</w:t>
      </w:r>
      <w:r w:rsidRPr="004763D4">
        <w:t xml:space="preserve"> dans les trente jours à compter de sa notification (art. 121 Cpa</w:t>
      </w:r>
      <w:r w:rsidRPr="004763D4">
        <w:rPr>
          <w:vertAlign w:val="superscript"/>
        </w:rPr>
        <w:footnoteReference w:id="1"/>
      </w:r>
      <w:r w:rsidRPr="004763D4">
        <w:t>). Les règles relatives aux féries sont réservées (art. 44a Cpa). Le recours doit contenir un exposé concis des faits, des motifs et des moyens de preuve, ainsi que l'énoncé des conclusions. La décision attaquée et les documents servant de moyens de preuve en possession du recourant sont joints au recours. Le recours doit être daté et signé par le recourant ou son mandataire (art. 127 Cpa). Le non-respect de ces dispositions peut entraîner l'irrecevabilité du recours.</w:t>
      </w:r>
    </w:p>
    <w:p w14:paraId="65DD329F" w14:textId="77777777" w:rsidR="00C42A27" w:rsidRDefault="00C42A27" w:rsidP="004763D4">
      <w:pPr>
        <w:pStyle w:val="Texte1113"/>
        <w:ind w:left="360"/>
      </w:pPr>
    </w:p>
    <w:p w14:paraId="71EBE263" w14:textId="77777777" w:rsidR="00C42A27" w:rsidRDefault="00C42A27" w:rsidP="004763D4">
      <w:pPr>
        <w:pStyle w:val="Texte1113"/>
        <w:numPr>
          <w:ilvl w:val="6"/>
          <w:numId w:val="8"/>
        </w:numPr>
      </w:pPr>
      <w:r>
        <w:t>La présente décision entre en force dès qu’elle n’est plus susceptible de recours ou dès qu’un éventuel recours aura été jugé.</w:t>
      </w:r>
    </w:p>
    <w:p w14:paraId="4BAF1731" w14:textId="6D13EF89" w:rsidR="0087533F" w:rsidRPr="004763D4" w:rsidRDefault="0087533F" w:rsidP="004763D4">
      <w:pPr>
        <w:spacing w:after="0" w:line="260" w:lineRule="atLeast"/>
        <w:rPr>
          <w:rFonts w:eastAsia="Times"/>
          <w:lang w:val="fr-FR" w:eastAsia="fr-FR"/>
        </w:rPr>
      </w:pPr>
      <w:bookmarkStart w:id="0" w:name="_GoBack"/>
      <w:bookmarkEnd w:id="0"/>
    </w:p>
    <w:p w14:paraId="17199E8D" w14:textId="77777777" w:rsidR="00FC65EC" w:rsidRPr="004763D4" w:rsidRDefault="00FC65EC" w:rsidP="00FC65EC">
      <w:pPr>
        <w:spacing w:after="0" w:line="260" w:lineRule="atLeast"/>
        <w:rPr>
          <w:rFonts w:eastAsia="Times"/>
          <w:lang w:eastAsia="fr-CH"/>
        </w:rPr>
      </w:pPr>
    </w:p>
    <w:p w14:paraId="4CE44DCE" w14:textId="77777777" w:rsidR="00FC65EC" w:rsidRPr="004763D4" w:rsidRDefault="00FC65EC" w:rsidP="00FC65EC">
      <w:pPr>
        <w:pStyle w:val="Texte1113"/>
        <w:tabs>
          <w:tab w:val="left" w:pos="5103"/>
        </w:tabs>
      </w:pPr>
      <w:r w:rsidRPr="004763D4">
        <w:rPr>
          <w:highlight w:val="yellow"/>
        </w:rPr>
        <w:t>[Prénom Nom]</w:t>
      </w:r>
      <w:r w:rsidRPr="004763D4">
        <w:tab/>
      </w:r>
      <w:r w:rsidRPr="004763D4">
        <w:rPr>
          <w:highlight w:val="yellow"/>
        </w:rPr>
        <w:t>[Prénom Nom]</w:t>
      </w:r>
    </w:p>
    <w:p w14:paraId="6D89B5B8" w14:textId="77777777" w:rsidR="00FC65EC" w:rsidRPr="004763D4" w:rsidRDefault="00FC65EC" w:rsidP="00FC65EC">
      <w:pPr>
        <w:pStyle w:val="fonction"/>
        <w:tabs>
          <w:tab w:val="left" w:pos="5103"/>
        </w:tabs>
        <w:rPr>
          <w:sz w:val="22"/>
          <w:szCs w:val="22"/>
        </w:rPr>
      </w:pPr>
      <w:r w:rsidRPr="004763D4">
        <w:rPr>
          <w:sz w:val="22"/>
          <w:szCs w:val="22"/>
          <w:highlight w:val="yellow"/>
        </w:rPr>
        <w:t>[Fonction]</w:t>
      </w:r>
      <w:r w:rsidRPr="004763D4">
        <w:rPr>
          <w:sz w:val="22"/>
          <w:szCs w:val="22"/>
        </w:rPr>
        <w:tab/>
      </w:r>
      <w:r w:rsidRPr="004763D4">
        <w:rPr>
          <w:sz w:val="22"/>
          <w:szCs w:val="22"/>
          <w:highlight w:val="yellow"/>
        </w:rPr>
        <w:t>[Fonction]</w:t>
      </w:r>
    </w:p>
    <w:p w14:paraId="570D4489" w14:textId="77777777" w:rsidR="00FC65EC" w:rsidRPr="004763D4" w:rsidRDefault="00FC65EC" w:rsidP="00FC65EC">
      <w:pPr>
        <w:spacing w:after="0" w:line="260" w:lineRule="atLeast"/>
        <w:rPr>
          <w:rFonts w:eastAsia="Times"/>
          <w:highlight w:val="yellow"/>
          <w:lang w:val="fr-FR" w:eastAsia="fr-FR"/>
        </w:rPr>
      </w:pPr>
    </w:p>
    <w:p w14:paraId="330B1CCE" w14:textId="77777777" w:rsidR="003A6CCA" w:rsidRPr="004763D4" w:rsidRDefault="003A6CCA" w:rsidP="0078221C">
      <w:pPr>
        <w:spacing w:after="0" w:line="240" w:lineRule="auto"/>
        <w:rPr>
          <w:rFonts w:eastAsia="Times New Roman"/>
          <w:lang w:eastAsia="fr-CH"/>
        </w:rPr>
      </w:pPr>
    </w:p>
    <w:p w14:paraId="4C5CC6EE" w14:textId="77777777" w:rsidR="003A6CCA" w:rsidRPr="004763D4" w:rsidRDefault="003A6CCA" w:rsidP="0078221C">
      <w:pPr>
        <w:spacing w:after="0" w:line="240" w:lineRule="auto"/>
        <w:rPr>
          <w:rFonts w:eastAsia="Times New Roman"/>
          <w:lang w:eastAsia="fr-CH"/>
        </w:rPr>
      </w:pPr>
    </w:p>
    <w:p w14:paraId="1E4865DD" w14:textId="77777777" w:rsidR="00192A4F" w:rsidRPr="004763D4" w:rsidRDefault="0078221C" w:rsidP="00192A4F">
      <w:pPr>
        <w:spacing w:after="0" w:line="240" w:lineRule="auto"/>
        <w:ind w:left="426" w:hanging="426"/>
        <w:rPr>
          <w:rFonts w:eastAsia="Times New Roman"/>
          <w:lang w:eastAsia="fr-CH"/>
        </w:rPr>
      </w:pPr>
      <w:r w:rsidRPr="004763D4">
        <w:rPr>
          <w:rFonts w:eastAsia="Times New Roman"/>
          <w:lang w:eastAsia="fr-CH"/>
        </w:rPr>
        <w:t xml:space="preserve">Annexe : </w:t>
      </w:r>
    </w:p>
    <w:p w14:paraId="5A789B1C" w14:textId="77777777" w:rsidR="0078221C" w:rsidRPr="004763D4" w:rsidRDefault="002052DA" w:rsidP="00192A4F">
      <w:pPr>
        <w:pStyle w:val="Paragraphedeliste"/>
        <w:numPr>
          <w:ilvl w:val="0"/>
          <w:numId w:val="4"/>
        </w:numPr>
        <w:tabs>
          <w:tab w:val="left" w:pos="426"/>
        </w:tabs>
        <w:spacing w:after="0" w:line="240" w:lineRule="auto"/>
        <w:rPr>
          <w:rFonts w:eastAsia="Times New Roman"/>
          <w:lang w:eastAsia="fr-CH"/>
        </w:rPr>
      </w:pPr>
      <w:r w:rsidRPr="004763D4">
        <w:rPr>
          <w:rFonts w:eastAsia="Times New Roman"/>
          <w:highlight w:val="yellow"/>
          <w:lang w:eastAsia="fr-CH"/>
        </w:rPr>
        <w:t>[…</w:t>
      </w:r>
      <w:r w:rsidR="00192A4F" w:rsidRPr="004763D4">
        <w:rPr>
          <w:rFonts w:eastAsia="Times New Roman"/>
          <w:highlight w:val="yellow"/>
          <w:lang w:eastAsia="fr-CH"/>
        </w:rPr>
        <w:t>]</w:t>
      </w:r>
    </w:p>
    <w:p w14:paraId="5FE37A7B" w14:textId="77777777" w:rsidR="0078221C" w:rsidRPr="004763D4" w:rsidRDefault="0078221C" w:rsidP="0078221C">
      <w:pPr>
        <w:tabs>
          <w:tab w:val="left" w:pos="567"/>
        </w:tabs>
        <w:spacing w:after="0" w:line="240" w:lineRule="auto"/>
        <w:ind w:left="426" w:hanging="426"/>
        <w:rPr>
          <w:rFonts w:eastAsia="Times New Roman"/>
          <w:lang w:eastAsia="fr-CH"/>
        </w:rPr>
      </w:pPr>
    </w:p>
    <w:p w14:paraId="34DE9D72" w14:textId="7AC0C624" w:rsidR="0078221C" w:rsidRPr="004763D4" w:rsidRDefault="000826C8" w:rsidP="0078221C">
      <w:pPr>
        <w:tabs>
          <w:tab w:val="left" w:pos="567"/>
          <w:tab w:val="left" w:pos="2552"/>
        </w:tabs>
        <w:spacing w:after="0" w:line="260" w:lineRule="atLeast"/>
        <w:ind w:left="426" w:hanging="426"/>
        <w:rPr>
          <w:rFonts w:eastAsia="Times"/>
          <w:lang w:val="fr-FR" w:eastAsia="fr-FR"/>
        </w:rPr>
      </w:pPr>
      <w:r>
        <w:rPr>
          <w:rFonts w:eastAsia="Times"/>
          <w:lang w:val="fr-FR" w:eastAsia="fr-FR"/>
        </w:rPr>
        <w:t>Copie à :</w:t>
      </w:r>
    </w:p>
    <w:p w14:paraId="6C51281F" w14:textId="231DB980" w:rsidR="004878E8" w:rsidRPr="001E182F" w:rsidRDefault="0078221C" w:rsidP="001E182F">
      <w:pPr>
        <w:pStyle w:val="Paragraphedeliste"/>
        <w:numPr>
          <w:ilvl w:val="0"/>
          <w:numId w:val="3"/>
        </w:numPr>
        <w:tabs>
          <w:tab w:val="left" w:pos="426"/>
        </w:tabs>
        <w:spacing w:after="0" w:line="260" w:lineRule="atLeast"/>
        <w:rPr>
          <w:rFonts w:eastAsia="Times"/>
          <w:lang w:val="fr-FR" w:eastAsia="fr-FR"/>
        </w:rPr>
      </w:pPr>
      <w:r w:rsidRPr="004763D4">
        <w:rPr>
          <w:rFonts w:eastAsia="Times New Roman"/>
          <w:lang w:eastAsia="fr-CH"/>
        </w:rPr>
        <w:t>Reg</w:t>
      </w:r>
      <w:r w:rsidR="00192A4F" w:rsidRPr="004763D4">
        <w:rPr>
          <w:rFonts w:eastAsia="Times New Roman"/>
          <w:lang w:eastAsia="fr-CH"/>
        </w:rPr>
        <w:t>istre foncier</w:t>
      </w:r>
    </w:p>
    <w:sectPr w:rsidR="004878E8" w:rsidRPr="001E182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1270" w14:textId="77777777" w:rsidR="008234C8" w:rsidRDefault="008234C8" w:rsidP="008234C8">
      <w:pPr>
        <w:spacing w:after="0" w:line="240" w:lineRule="auto"/>
      </w:pPr>
      <w:r>
        <w:separator/>
      </w:r>
    </w:p>
  </w:endnote>
  <w:endnote w:type="continuationSeparator" w:id="0">
    <w:p w14:paraId="22577DE9" w14:textId="77777777" w:rsidR="008234C8" w:rsidRDefault="008234C8" w:rsidP="00823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180766"/>
      <w:docPartObj>
        <w:docPartGallery w:val="Page Numbers (Bottom of Page)"/>
        <w:docPartUnique/>
      </w:docPartObj>
    </w:sdtPr>
    <w:sdtEndPr/>
    <w:sdtContent>
      <w:p w14:paraId="604A2539" w14:textId="56FEF512" w:rsidR="00A2736C" w:rsidRDefault="00A2736C">
        <w:pPr>
          <w:pStyle w:val="Pieddepage"/>
          <w:jc w:val="right"/>
        </w:pPr>
        <w:r>
          <w:fldChar w:fldCharType="begin"/>
        </w:r>
        <w:r>
          <w:instrText>PAGE   \* MERGEFORMAT</w:instrText>
        </w:r>
        <w:r>
          <w:fldChar w:fldCharType="separate"/>
        </w:r>
        <w:r w:rsidR="001E182F" w:rsidRPr="001E182F">
          <w:rPr>
            <w:noProof/>
            <w:lang w:val="fr-FR"/>
          </w:rPr>
          <w:t>2</w:t>
        </w:r>
        <w:r>
          <w:fldChar w:fldCharType="end"/>
        </w:r>
      </w:p>
    </w:sdtContent>
  </w:sdt>
  <w:p w14:paraId="1782DAF2" w14:textId="77777777" w:rsidR="00A2736C" w:rsidRDefault="00A273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26BA4" w14:textId="77777777" w:rsidR="008234C8" w:rsidRDefault="008234C8" w:rsidP="008234C8">
      <w:pPr>
        <w:spacing w:after="0" w:line="240" w:lineRule="auto"/>
      </w:pPr>
      <w:r>
        <w:separator/>
      </w:r>
    </w:p>
  </w:footnote>
  <w:footnote w:type="continuationSeparator" w:id="0">
    <w:p w14:paraId="74A48DA8" w14:textId="77777777" w:rsidR="008234C8" w:rsidRDefault="008234C8" w:rsidP="008234C8">
      <w:pPr>
        <w:spacing w:after="0" w:line="240" w:lineRule="auto"/>
      </w:pPr>
      <w:r>
        <w:continuationSeparator/>
      </w:r>
    </w:p>
  </w:footnote>
  <w:footnote w:id="1">
    <w:p w14:paraId="026B55F0" w14:textId="77777777" w:rsidR="00FC65EC" w:rsidRPr="00C5731E" w:rsidRDefault="00FC65EC" w:rsidP="00FC65EC">
      <w:pPr>
        <w:pStyle w:val="Notedebasdepage"/>
      </w:pPr>
      <w:r>
        <w:rPr>
          <w:rStyle w:val="Appelnotedebasdep"/>
        </w:rPr>
        <w:footnoteRef/>
      </w:r>
      <w:r>
        <w:t xml:space="preserve"> </w:t>
      </w:r>
      <w:r w:rsidR="00EA5458" w:rsidRPr="000B2AB4">
        <w:rPr>
          <w:sz w:val="18"/>
          <w:szCs w:val="18"/>
        </w:rPr>
        <w:t>Code de procédure administrative ; RSJU 175.1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AC1"/>
    <w:multiLevelType w:val="hybridMultilevel"/>
    <w:tmpl w:val="9A1A66BC"/>
    <w:lvl w:ilvl="0" w:tplc="0F7E975E">
      <w:start w:val="3"/>
      <w:numFmt w:val="bullet"/>
      <w:lvlText w:val="-"/>
      <w:lvlJc w:val="left"/>
      <w:pPr>
        <w:ind w:left="720" w:hanging="360"/>
      </w:pPr>
      <w:rPr>
        <w:rFonts w:ascii="Arial" w:eastAsia="Times"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307A6EDE"/>
    <w:multiLevelType w:val="hybridMultilevel"/>
    <w:tmpl w:val="8FBC9718"/>
    <w:lvl w:ilvl="0" w:tplc="389AFB54">
      <w:start w:val="3"/>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2F912FE"/>
    <w:multiLevelType w:val="hybridMultilevel"/>
    <w:tmpl w:val="6106C26E"/>
    <w:lvl w:ilvl="0" w:tplc="96188B2A">
      <w:numFmt w:val="bullet"/>
      <w:lvlText w:val="-"/>
      <w:lvlJc w:val="left"/>
      <w:pPr>
        <w:ind w:left="420" w:hanging="360"/>
      </w:pPr>
      <w:rPr>
        <w:rFonts w:ascii="Arial" w:eastAsia="Times New Roman" w:hAnsi="Arial" w:cs="Arial" w:hint="default"/>
      </w:rPr>
    </w:lvl>
    <w:lvl w:ilvl="1" w:tplc="100C0003" w:tentative="1">
      <w:start w:val="1"/>
      <w:numFmt w:val="bullet"/>
      <w:lvlText w:val="o"/>
      <w:lvlJc w:val="left"/>
      <w:pPr>
        <w:ind w:left="1140" w:hanging="360"/>
      </w:pPr>
      <w:rPr>
        <w:rFonts w:ascii="Courier New" w:hAnsi="Courier New" w:cs="Courier New" w:hint="default"/>
      </w:rPr>
    </w:lvl>
    <w:lvl w:ilvl="2" w:tplc="100C0005" w:tentative="1">
      <w:start w:val="1"/>
      <w:numFmt w:val="bullet"/>
      <w:lvlText w:val=""/>
      <w:lvlJc w:val="left"/>
      <w:pPr>
        <w:ind w:left="1860" w:hanging="360"/>
      </w:pPr>
      <w:rPr>
        <w:rFonts w:ascii="Wingdings" w:hAnsi="Wingdings" w:hint="default"/>
      </w:rPr>
    </w:lvl>
    <w:lvl w:ilvl="3" w:tplc="100C0001" w:tentative="1">
      <w:start w:val="1"/>
      <w:numFmt w:val="bullet"/>
      <w:lvlText w:val=""/>
      <w:lvlJc w:val="left"/>
      <w:pPr>
        <w:ind w:left="2580" w:hanging="360"/>
      </w:pPr>
      <w:rPr>
        <w:rFonts w:ascii="Symbol" w:hAnsi="Symbol" w:hint="default"/>
      </w:rPr>
    </w:lvl>
    <w:lvl w:ilvl="4" w:tplc="100C0003" w:tentative="1">
      <w:start w:val="1"/>
      <w:numFmt w:val="bullet"/>
      <w:lvlText w:val="o"/>
      <w:lvlJc w:val="left"/>
      <w:pPr>
        <w:ind w:left="3300" w:hanging="360"/>
      </w:pPr>
      <w:rPr>
        <w:rFonts w:ascii="Courier New" w:hAnsi="Courier New" w:cs="Courier New" w:hint="default"/>
      </w:rPr>
    </w:lvl>
    <w:lvl w:ilvl="5" w:tplc="100C0005" w:tentative="1">
      <w:start w:val="1"/>
      <w:numFmt w:val="bullet"/>
      <w:lvlText w:val=""/>
      <w:lvlJc w:val="left"/>
      <w:pPr>
        <w:ind w:left="4020" w:hanging="360"/>
      </w:pPr>
      <w:rPr>
        <w:rFonts w:ascii="Wingdings" w:hAnsi="Wingdings" w:hint="default"/>
      </w:rPr>
    </w:lvl>
    <w:lvl w:ilvl="6" w:tplc="100C0001" w:tentative="1">
      <w:start w:val="1"/>
      <w:numFmt w:val="bullet"/>
      <w:lvlText w:val=""/>
      <w:lvlJc w:val="left"/>
      <w:pPr>
        <w:ind w:left="4740" w:hanging="360"/>
      </w:pPr>
      <w:rPr>
        <w:rFonts w:ascii="Symbol" w:hAnsi="Symbol" w:hint="default"/>
      </w:rPr>
    </w:lvl>
    <w:lvl w:ilvl="7" w:tplc="100C0003" w:tentative="1">
      <w:start w:val="1"/>
      <w:numFmt w:val="bullet"/>
      <w:lvlText w:val="o"/>
      <w:lvlJc w:val="left"/>
      <w:pPr>
        <w:ind w:left="5460" w:hanging="360"/>
      </w:pPr>
      <w:rPr>
        <w:rFonts w:ascii="Courier New" w:hAnsi="Courier New" w:cs="Courier New" w:hint="default"/>
      </w:rPr>
    </w:lvl>
    <w:lvl w:ilvl="8" w:tplc="100C0005" w:tentative="1">
      <w:start w:val="1"/>
      <w:numFmt w:val="bullet"/>
      <w:lvlText w:val=""/>
      <w:lvlJc w:val="left"/>
      <w:pPr>
        <w:ind w:left="6180" w:hanging="360"/>
      </w:pPr>
      <w:rPr>
        <w:rFonts w:ascii="Wingdings" w:hAnsi="Wingdings" w:hint="default"/>
      </w:rPr>
    </w:lvl>
  </w:abstractNum>
  <w:abstractNum w:abstractNumId="3" w15:restartNumberingAfterBreak="0">
    <w:nsid w:val="437945EB"/>
    <w:multiLevelType w:val="hybridMultilevel"/>
    <w:tmpl w:val="8A9AAB30"/>
    <w:lvl w:ilvl="0" w:tplc="DD9413CA">
      <w:start w:val="1"/>
      <w:numFmt w:val="decimal"/>
      <w:lvlText w:val="%1)"/>
      <w:lvlJc w:val="left"/>
      <w:pPr>
        <w:ind w:left="720" w:hanging="360"/>
      </w:pPr>
      <w:rPr>
        <w:rFonts w:hint="default"/>
        <w:b/>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52792BF6"/>
    <w:multiLevelType w:val="hybridMultilevel"/>
    <w:tmpl w:val="534A90EA"/>
    <w:lvl w:ilvl="0" w:tplc="96188B2A">
      <w:numFmt w:val="bullet"/>
      <w:lvlText w:val="-"/>
      <w:lvlJc w:val="left"/>
      <w:pPr>
        <w:ind w:left="1429" w:hanging="360"/>
      </w:pPr>
      <w:rPr>
        <w:rFonts w:ascii="Arial" w:eastAsia="Times New Roman" w:hAnsi="Arial" w:cs="Arial"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5" w15:restartNumberingAfterBreak="0">
    <w:nsid w:val="619C6FAE"/>
    <w:multiLevelType w:val="multilevel"/>
    <w:tmpl w:val="17765B24"/>
    <w:lvl w:ilvl="0">
      <w:start w:val="1"/>
      <w:numFmt w:val="upperRoman"/>
      <w:pStyle w:val="Paragraphe1113"/>
      <w:lvlText w:val="%1"/>
      <w:lvlJc w:val="left"/>
      <w:pPr>
        <w:tabs>
          <w:tab w:val="num" w:pos="709"/>
        </w:tabs>
        <w:ind w:left="709" w:hanging="709"/>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ettre1113"/>
      <w:lvlText w:val="%2."/>
      <w:lvlJc w:val="left"/>
      <w:pPr>
        <w:tabs>
          <w:tab w:val="num" w:pos="360"/>
        </w:tabs>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19F6E85"/>
    <w:multiLevelType w:val="hybridMultilevel"/>
    <w:tmpl w:val="3E743F36"/>
    <w:lvl w:ilvl="0" w:tplc="15A84B76">
      <w:start w:val="3"/>
      <w:numFmt w:val="bullet"/>
      <w:lvlText w:val="-"/>
      <w:lvlJc w:val="left"/>
      <w:pPr>
        <w:ind w:left="720" w:hanging="360"/>
      </w:pPr>
      <w:rPr>
        <w:rFonts w:ascii="Arial" w:eastAsia="Times"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62633729"/>
    <w:multiLevelType w:val="hybridMultilevel"/>
    <w:tmpl w:val="DEC6F0E8"/>
    <w:lvl w:ilvl="0" w:tplc="EF08A9B4">
      <w:numFmt w:val="bullet"/>
      <w:lvlText w:val=""/>
      <w:lvlJc w:val="left"/>
      <w:pPr>
        <w:ind w:left="720" w:hanging="360"/>
      </w:pPr>
      <w:rPr>
        <w:rFonts w:ascii="Wingdings" w:eastAsia="Times" w:hAnsi="Wingdings"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7EFA10D1"/>
    <w:multiLevelType w:val="hybridMultilevel"/>
    <w:tmpl w:val="329ACF5A"/>
    <w:lvl w:ilvl="0" w:tplc="DCA40F74">
      <w:numFmt w:val="bullet"/>
      <w:lvlText w:val="-"/>
      <w:lvlJc w:val="left"/>
      <w:pPr>
        <w:ind w:left="720" w:hanging="360"/>
      </w:pPr>
      <w:rPr>
        <w:rFonts w:ascii="Arial" w:eastAsiaTheme="minorHAnsi"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75"/>
    <w:rsid w:val="00075FA5"/>
    <w:rsid w:val="000826C8"/>
    <w:rsid w:val="000870A3"/>
    <w:rsid w:val="000B3B5F"/>
    <w:rsid w:val="00110492"/>
    <w:rsid w:val="00156B47"/>
    <w:rsid w:val="00163C3B"/>
    <w:rsid w:val="00192A4F"/>
    <w:rsid w:val="001E182F"/>
    <w:rsid w:val="002052DA"/>
    <w:rsid w:val="002D4E82"/>
    <w:rsid w:val="003556C6"/>
    <w:rsid w:val="003A6CCA"/>
    <w:rsid w:val="004538F5"/>
    <w:rsid w:val="004763D4"/>
    <w:rsid w:val="00477A0D"/>
    <w:rsid w:val="004878E8"/>
    <w:rsid w:val="004B51A8"/>
    <w:rsid w:val="00594B28"/>
    <w:rsid w:val="005B324B"/>
    <w:rsid w:val="00617783"/>
    <w:rsid w:val="006D6B5B"/>
    <w:rsid w:val="006F7675"/>
    <w:rsid w:val="00710112"/>
    <w:rsid w:val="0078221C"/>
    <w:rsid w:val="00784F73"/>
    <w:rsid w:val="0080605E"/>
    <w:rsid w:val="008234C8"/>
    <w:rsid w:val="008548C0"/>
    <w:rsid w:val="0087533F"/>
    <w:rsid w:val="00890FF4"/>
    <w:rsid w:val="0095262B"/>
    <w:rsid w:val="009A2C21"/>
    <w:rsid w:val="009F7D41"/>
    <w:rsid w:val="00A2736C"/>
    <w:rsid w:val="00A87704"/>
    <w:rsid w:val="00B03E76"/>
    <w:rsid w:val="00B457EE"/>
    <w:rsid w:val="00B472F1"/>
    <w:rsid w:val="00B54EB8"/>
    <w:rsid w:val="00C42A27"/>
    <w:rsid w:val="00CC47FA"/>
    <w:rsid w:val="00D339D9"/>
    <w:rsid w:val="00D4578E"/>
    <w:rsid w:val="00DF36B5"/>
    <w:rsid w:val="00E14018"/>
    <w:rsid w:val="00E92A75"/>
    <w:rsid w:val="00E95788"/>
    <w:rsid w:val="00EA5458"/>
    <w:rsid w:val="00EB2815"/>
    <w:rsid w:val="00F74A02"/>
    <w:rsid w:val="00F759DC"/>
    <w:rsid w:val="00F92689"/>
    <w:rsid w:val="00FC65EC"/>
    <w:rsid w:val="00FD23B4"/>
    <w:rsid w:val="00FE660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ADC51D"/>
  <w15:chartTrackingRefBased/>
  <w15:docId w15:val="{7D8786FD-441D-4508-BAEF-19BFFDC90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8E8"/>
    <w:pPr>
      <w:jc w:val="both"/>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234C8"/>
    <w:pPr>
      <w:tabs>
        <w:tab w:val="center" w:pos="4536"/>
        <w:tab w:val="right" w:pos="9072"/>
      </w:tabs>
      <w:spacing w:after="0" w:line="240" w:lineRule="auto"/>
    </w:pPr>
  </w:style>
  <w:style w:type="character" w:customStyle="1" w:styleId="En-tteCar">
    <w:name w:val="En-tête Car"/>
    <w:basedOn w:val="Policepardfaut"/>
    <w:link w:val="En-tte"/>
    <w:uiPriority w:val="99"/>
    <w:rsid w:val="008234C8"/>
    <w:rPr>
      <w:rFonts w:ascii="Arial" w:hAnsi="Arial" w:cs="Arial"/>
      <w:sz w:val="21"/>
    </w:rPr>
  </w:style>
  <w:style w:type="paragraph" w:styleId="Pieddepage">
    <w:name w:val="footer"/>
    <w:basedOn w:val="Normal"/>
    <w:link w:val="PieddepageCar"/>
    <w:uiPriority w:val="99"/>
    <w:unhideWhenUsed/>
    <w:rsid w:val="008234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4C8"/>
    <w:rPr>
      <w:rFonts w:ascii="Arial" w:hAnsi="Arial" w:cs="Arial"/>
      <w:sz w:val="21"/>
    </w:rPr>
  </w:style>
  <w:style w:type="paragraph" w:styleId="Notedebasdepage">
    <w:name w:val="footnote text"/>
    <w:basedOn w:val="Normal"/>
    <w:link w:val="NotedebasdepageCar"/>
    <w:uiPriority w:val="99"/>
    <w:semiHidden/>
    <w:unhideWhenUsed/>
    <w:rsid w:val="00B03E7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03E76"/>
    <w:rPr>
      <w:rFonts w:ascii="Arial" w:hAnsi="Arial" w:cs="Arial"/>
      <w:sz w:val="20"/>
      <w:szCs w:val="20"/>
    </w:rPr>
  </w:style>
  <w:style w:type="character" w:styleId="Appelnotedebasdep">
    <w:name w:val="footnote reference"/>
    <w:basedOn w:val="Policepardfaut"/>
    <w:unhideWhenUsed/>
    <w:rsid w:val="00B03E76"/>
    <w:rPr>
      <w:vertAlign w:val="superscript"/>
    </w:rPr>
  </w:style>
  <w:style w:type="paragraph" w:styleId="Paragraphedeliste">
    <w:name w:val="List Paragraph"/>
    <w:basedOn w:val="Normal"/>
    <w:uiPriority w:val="34"/>
    <w:qFormat/>
    <w:rsid w:val="003556C6"/>
    <w:pPr>
      <w:ind w:left="720"/>
      <w:contextualSpacing/>
    </w:pPr>
  </w:style>
  <w:style w:type="paragraph" w:customStyle="1" w:styleId="fonction">
    <w:name w:val="fonction"/>
    <w:basedOn w:val="Normal"/>
    <w:rsid w:val="004878E8"/>
    <w:pPr>
      <w:spacing w:after="120" w:line="240" w:lineRule="auto"/>
      <w:jc w:val="left"/>
    </w:pPr>
    <w:rPr>
      <w:rFonts w:eastAsia="Times New Roman"/>
      <w:sz w:val="16"/>
      <w:szCs w:val="16"/>
      <w:lang w:val="fr-FR" w:eastAsia="fr-FR"/>
    </w:rPr>
  </w:style>
  <w:style w:type="paragraph" w:customStyle="1" w:styleId="Texte1113">
    <w:name w:val="Texte 11/13"/>
    <w:basedOn w:val="Normal"/>
    <w:link w:val="Texte1113Car"/>
    <w:rsid w:val="004878E8"/>
    <w:pPr>
      <w:spacing w:after="0" w:line="260" w:lineRule="atLeast"/>
    </w:pPr>
    <w:rPr>
      <w:rFonts w:eastAsia="Times"/>
      <w:lang w:val="fr-FR" w:eastAsia="fr-FR"/>
    </w:rPr>
  </w:style>
  <w:style w:type="character" w:customStyle="1" w:styleId="Texte1113Car">
    <w:name w:val="Texte 11/13 Car"/>
    <w:link w:val="Texte1113"/>
    <w:rsid w:val="004878E8"/>
    <w:rPr>
      <w:rFonts w:ascii="Arial" w:eastAsia="Times" w:hAnsi="Arial" w:cs="Arial"/>
      <w:lang w:val="fr-FR" w:eastAsia="fr-FR"/>
    </w:rPr>
  </w:style>
  <w:style w:type="table" w:styleId="Grilledutableau">
    <w:name w:val="Table Grid"/>
    <w:basedOn w:val="TableauNormal"/>
    <w:rsid w:val="0078221C"/>
    <w:pPr>
      <w:spacing w:after="0" w:line="240" w:lineRule="auto"/>
    </w:pPr>
    <w:rPr>
      <w:rFonts w:ascii="Arial" w:eastAsia="Times New Roman" w:hAnsi="Arial" w:cs="Arial"/>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0605E"/>
    <w:rPr>
      <w:sz w:val="16"/>
      <w:szCs w:val="16"/>
    </w:rPr>
  </w:style>
  <w:style w:type="paragraph" w:styleId="Commentaire">
    <w:name w:val="annotation text"/>
    <w:basedOn w:val="Normal"/>
    <w:link w:val="CommentaireCar"/>
    <w:uiPriority w:val="99"/>
    <w:semiHidden/>
    <w:unhideWhenUsed/>
    <w:rsid w:val="0080605E"/>
    <w:pPr>
      <w:spacing w:line="240" w:lineRule="auto"/>
    </w:pPr>
    <w:rPr>
      <w:sz w:val="20"/>
      <w:szCs w:val="20"/>
    </w:rPr>
  </w:style>
  <w:style w:type="character" w:customStyle="1" w:styleId="CommentaireCar">
    <w:name w:val="Commentaire Car"/>
    <w:basedOn w:val="Policepardfaut"/>
    <w:link w:val="Commentaire"/>
    <w:uiPriority w:val="99"/>
    <w:semiHidden/>
    <w:rsid w:val="0080605E"/>
    <w:rPr>
      <w:rFonts w:ascii="Arial" w:hAnsi="Arial" w:cs="Arial"/>
      <w:sz w:val="20"/>
      <w:szCs w:val="20"/>
    </w:rPr>
  </w:style>
  <w:style w:type="paragraph" w:styleId="Objetducommentaire">
    <w:name w:val="annotation subject"/>
    <w:basedOn w:val="Commentaire"/>
    <w:next w:val="Commentaire"/>
    <w:link w:val="ObjetducommentaireCar"/>
    <w:uiPriority w:val="99"/>
    <w:semiHidden/>
    <w:unhideWhenUsed/>
    <w:rsid w:val="0080605E"/>
    <w:rPr>
      <w:b/>
      <w:bCs/>
    </w:rPr>
  </w:style>
  <w:style w:type="character" w:customStyle="1" w:styleId="ObjetducommentaireCar">
    <w:name w:val="Objet du commentaire Car"/>
    <w:basedOn w:val="CommentaireCar"/>
    <w:link w:val="Objetducommentaire"/>
    <w:uiPriority w:val="99"/>
    <w:semiHidden/>
    <w:rsid w:val="0080605E"/>
    <w:rPr>
      <w:rFonts w:ascii="Arial" w:hAnsi="Arial" w:cs="Arial"/>
      <w:b/>
      <w:bCs/>
      <w:sz w:val="20"/>
      <w:szCs w:val="20"/>
    </w:rPr>
  </w:style>
  <w:style w:type="paragraph" w:styleId="Textedebulles">
    <w:name w:val="Balloon Text"/>
    <w:basedOn w:val="Normal"/>
    <w:link w:val="TextedebullesCar"/>
    <w:uiPriority w:val="99"/>
    <w:semiHidden/>
    <w:unhideWhenUsed/>
    <w:rsid w:val="008060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605E"/>
    <w:rPr>
      <w:rFonts w:ascii="Segoe UI" w:hAnsi="Segoe UI" w:cs="Segoe UI"/>
      <w:sz w:val="18"/>
      <w:szCs w:val="18"/>
    </w:rPr>
  </w:style>
  <w:style w:type="paragraph" w:customStyle="1" w:styleId="Paragraphe1113">
    <w:name w:val="Paragraphe 11/13"/>
    <w:basedOn w:val="Texte1113"/>
    <w:rsid w:val="00EA5458"/>
    <w:pPr>
      <w:keepNext/>
      <w:numPr>
        <w:numId w:val="8"/>
      </w:numPr>
      <w:spacing w:after="40"/>
    </w:pPr>
    <w:rPr>
      <w:rFonts w:ascii="Helvetica" w:hAnsi="Helvetica"/>
    </w:rPr>
  </w:style>
  <w:style w:type="paragraph" w:customStyle="1" w:styleId="Lettre1113">
    <w:name w:val="Lettre 11/13"/>
    <w:basedOn w:val="Texte1113"/>
    <w:rsid w:val="00EA5458"/>
    <w:pPr>
      <w:numPr>
        <w:ilvl w:val="1"/>
        <w:numId w:val="8"/>
      </w:numPr>
      <w:tabs>
        <w:tab w:val="left" w:pos="425"/>
      </w:tabs>
      <w:spacing w:before="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F1222-6C37-471E-A837-DD639C02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343</Words>
  <Characters>1887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RCJU</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Biedermann Léo</dc:creator>
  <cp:keywords/>
  <dc:description/>
  <cp:lastModifiedBy>Biedermann Léo</cp:lastModifiedBy>
  <cp:revision>8</cp:revision>
  <dcterms:created xsi:type="dcterms:W3CDTF">2022-03-15T09:12:00Z</dcterms:created>
  <dcterms:modified xsi:type="dcterms:W3CDTF">2022-03-22T07:59:00Z</dcterms:modified>
</cp:coreProperties>
</file>