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FD418" w14:textId="306EFFF1" w:rsidR="00276D84" w:rsidRDefault="00276D84" w:rsidP="00276D84">
      <w:pPr>
        <w:pStyle w:val="Lieuetdate"/>
        <w:tabs>
          <w:tab w:val="clear" w:pos="7795"/>
          <w:tab w:val="left" w:pos="7797"/>
        </w:tabs>
        <w:spacing w:before="800"/>
        <w:jc w:val="both"/>
        <w:rPr>
          <w:rFonts w:eastAsia="Times"/>
          <w:b/>
          <w:sz w:val="28"/>
          <w:szCs w:val="28"/>
        </w:rPr>
      </w:pPr>
    </w:p>
    <w:p w14:paraId="50B9FE70" w14:textId="246F1B99" w:rsidR="00402F14" w:rsidRPr="00276D84" w:rsidRDefault="00863A21" w:rsidP="00276D84">
      <w:pPr>
        <w:pStyle w:val="Lieuetdate"/>
        <w:tabs>
          <w:tab w:val="clear" w:pos="7795"/>
          <w:tab w:val="left" w:pos="7797"/>
        </w:tabs>
        <w:spacing w:before="800"/>
        <w:jc w:val="both"/>
        <w:rPr>
          <w:sz w:val="16"/>
        </w:rPr>
      </w:pPr>
      <w:r>
        <w:rPr>
          <w:noProof/>
          <w:sz w:val="22"/>
          <w:lang w:val="fr-CH" w:eastAsia="fr-CH"/>
        </w:rPr>
        <w:drawing>
          <wp:anchor distT="0" distB="0" distL="114300" distR="114300" simplePos="0" relativeHeight="251658240" behindDoc="1" locked="0" layoutInCell="1" allowOverlap="1" wp14:anchorId="74EB5EC5" wp14:editId="049FA089">
            <wp:simplePos x="0" y="0"/>
            <wp:positionH relativeFrom="column">
              <wp:posOffset>-720090</wp:posOffset>
            </wp:positionH>
            <wp:positionV relativeFrom="paragraph">
              <wp:posOffset>-1790700</wp:posOffset>
            </wp:positionV>
            <wp:extent cx="7540754" cy="2133600"/>
            <wp:effectExtent l="0" t="0" r="317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cc_conservation_monuments hist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320" cy="213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6DD1">
        <w:rPr>
          <w:noProof/>
          <w:sz w:val="22"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 wp14:anchorId="7ADE49B5" wp14:editId="3CBEAFD2">
                <wp:simplePos x="0" y="0"/>
                <wp:positionH relativeFrom="page">
                  <wp:posOffset>5670550</wp:posOffset>
                </wp:positionH>
                <wp:positionV relativeFrom="page">
                  <wp:posOffset>10189210</wp:posOffset>
                </wp:positionV>
                <wp:extent cx="1334770" cy="114300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4770" cy="114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0E5375" w14:textId="77777777" w:rsidR="00967524" w:rsidRDefault="00967524">
                            <w:pPr>
                              <w:spacing w:line="150" w:lineRule="exact"/>
                              <w:rPr>
                                <w:rFonts w:ascii="Arial" w:hAnsi="Arial"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sz w:val="15"/>
                              </w:rPr>
                              <w:t>www.jura.ch/occ</w:t>
                            </w:r>
                            <w:r w:rsidR="006212B1">
                              <w:rPr>
                                <w:rFonts w:ascii="Arial" w:hAnsi="Arial"/>
                                <w:sz w:val="15"/>
                              </w:rPr>
                              <w:t>/cmh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46.5pt;margin-top:802.3pt;width:105.1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" o:allowincell="f" stroked="f">
                <v:fill opacity="32896f"/>
                <v:textbox inset="0,0,0,0">
                  <w:txbxContent>
                    <w:p w:rsidR="00967524" w:rsidRDefault="00967524">
                      <w:pPr>
                        <w:spacing w:line="150" w:lineRule="exact"/>
                        <w:rPr>
                          <w:rFonts w:ascii="Arial" w:hAnsi="Arial"/>
                          <w:sz w:val="15"/>
                        </w:rPr>
                      </w:pPr>
                      <w:r>
                        <w:rPr>
                          <w:rFonts w:ascii="Arial" w:hAnsi="Arial"/>
                          <w:sz w:val="15"/>
                        </w:rPr>
                        <w:t>www.jura.ch/occ</w:t>
                      </w:r>
                      <w:r w:rsidR="006212B1">
                        <w:rPr>
                          <w:rFonts w:ascii="Arial" w:hAnsi="Arial"/>
                          <w:sz w:val="15"/>
                        </w:rPr>
                        <w:t>/cmh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276D84">
        <w:rPr>
          <w:rFonts w:eastAsia="Times"/>
          <w:b/>
          <w:sz w:val="28"/>
          <w:szCs w:val="28"/>
        </w:rPr>
        <w:t>Inventaire des monuments historiques : f</w:t>
      </w:r>
      <w:r w:rsidR="00402F14" w:rsidRPr="00CA12D3">
        <w:rPr>
          <w:rFonts w:eastAsia="Times"/>
          <w:b/>
          <w:sz w:val="28"/>
          <w:szCs w:val="28"/>
        </w:rPr>
        <w:t>ormulaire de consentement</w:t>
      </w:r>
    </w:p>
    <w:p w14:paraId="0A62F57E" w14:textId="77777777" w:rsidR="00402F14" w:rsidRDefault="00402F14" w:rsidP="00653FDF">
      <w:pPr>
        <w:pStyle w:val="fonction"/>
        <w:pBdr>
          <w:bottom w:val="single" w:sz="4" w:space="1" w:color="auto"/>
        </w:pBdr>
        <w:spacing w:after="0" w:line="260" w:lineRule="atLeast"/>
        <w:jc w:val="both"/>
        <w:rPr>
          <w:rFonts w:ascii="Arial" w:eastAsia="Times" w:hAnsi="Arial"/>
          <w:sz w:val="22"/>
        </w:rPr>
      </w:pPr>
    </w:p>
    <w:p w14:paraId="0D83E267" w14:textId="21ACB385" w:rsidR="00276D84" w:rsidRPr="00276D84" w:rsidRDefault="00276D84" w:rsidP="00653FDF">
      <w:pPr>
        <w:pStyle w:val="fonction"/>
        <w:pBdr>
          <w:bottom w:val="single" w:sz="4" w:space="1" w:color="auto"/>
        </w:pBdr>
        <w:spacing w:line="260" w:lineRule="atLeast"/>
        <w:jc w:val="both"/>
        <w:rPr>
          <w:rFonts w:ascii="Arial" w:eastAsia="Times" w:hAnsi="Arial"/>
          <w:b/>
          <w:bCs/>
          <w:sz w:val="22"/>
        </w:rPr>
      </w:pPr>
      <w:r w:rsidRPr="00276D84">
        <w:rPr>
          <w:rFonts w:ascii="Arial" w:eastAsia="Times" w:hAnsi="Arial"/>
          <w:b/>
          <w:bCs/>
          <w:sz w:val="22"/>
        </w:rPr>
        <w:t>Informations sur l’objet</w:t>
      </w:r>
    </w:p>
    <w:p w14:paraId="11709E58" w14:textId="07C37929" w:rsidR="00402F14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eastAsia="Times" w:hAnsi="Arial"/>
          <w:sz w:val="22"/>
        </w:rPr>
      </w:pPr>
      <w:r>
        <w:rPr>
          <w:rFonts w:ascii="Arial" w:eastAsia="Times" w:hAnsi="Arial"/>
          <w:sz w:val="22"/>
        </w:rPr>
        <w:t>Commune :</w:t>
      </w:r>
      <w:r>
        <w:rPr>
          <w:rFonts w:ascii="Arial" w:eastAsia="Times" w:hAnsi="Arial"/>
          <w:sz w:val="22"/>
        </w:rPr>
        <w:tab/>
      </w:r>
    </w:p>
    <w:p w14:paraId="287758F5" w14:textId="77777777" w:rsidR="00402F14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eastAsia="Times" w:hAnsi="Arial"/>
          <w:sz w:val="22"/>
        </w:rPr>
      </w:pPr>
      <w:r>
        <w:rPr>
          <w:rFonts w:ascii="Arial" w:eastAsia="Times" w:hAnsi="Arial"/>
          <w:sz w:val="22"/>
        </w:rPr>
        <w:t xml:space="preserve">Localité : </w:t>
      </w:r>
      <w:r>
        <w:rPr>
          <w:rFonts w:ascii="Arial" w:eastAsia="Times" w:hAnsi="Arial"/>
          <w:sz w:val="22"/>
        </w:rPr>
        <w:tab/>
      </w:r>
    </w:p>
    <w:p w14:paraId="059C7152" w14:textId="097B6A90" w:rsidR="00402F14" w:rsidRDefault="00276D8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eastAsia="Times" w:hAnsi="Arial"/>
          <w:sz w:val="22"/>
        </w:rPr>
      </w:pPr>
      <w:r>
        <w:rPr>
          <w:rFonts w:ascii="Arial" w:eastAsia="Times" w:hAnsi="Arial"/>
          <w:sz w:val="22"/>
        </w:rPr>
        <w:t>Dénomination de l’objet</w:t>
      </w:r>
      <w:r w:rsidR="00402F14">
        <w:rPr>
          <w:rFonts w:ascii="Arial" w:eastAsia="Times" w:hAnsi="Arial"/>
          <w:sz w:val="22"/>
        </w:rPr>
        <w:t xml:space="preserve"> : </w:t>
      </w:r>
      <w:r w:rsidR="00402F14">
        <w:rPr>
          <w:rFonts w:ascii="Arial" w:eastAsia="Times" w:hAnsi="Arial"/>
          <w:sz w:val="22"/>
        </w:rPr>
        <w:tab/>
      </w:r>
    </w:p>
    <w:p w14:paraId="5DB400BF" w14:textId="77777777" w:rsidR="00402F14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eastAsia="Times" w:hAnsi="Arial"/>
          <w:sz w:val="22"/>
        </w:rPr>
      </w:pPr>
      <w:r>
        <w:rPr>
          <w:rFonts w:ascii="Arial" w:eastAsia="Times" w:hAnsi="Arial"/>
          <w:sz w:val="22"/>
        </w:rPr>
        <w:t xml:space="preserve">Adresse : </w:t>
      </w:r>
      <w:r>
        <w:rPr>
          <w:rFonts w:ascii="Arial" w:eastAsia="Times" w:hAnsi="Arial"/>
          <w:sz w:val="22"/>
        </w:rPr>
        <w:tab/>
      </w:r>
    </w:p>
    <w:p w14:paraId="1B924827" w14:textId="7291E4AA" w:rsidR="00402F14" w:rsidRPr="00653FDF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eastAsia="Times" w:hAnsi="Arial"/>
          <w:sz w:val="22"/>
        </w:rPr>
      </w:pPr>
      <w:r>
        <w:rPr>
          <w:rFonts w:ascii="Arial" w:eastAsia="Times" w:hAnsi="Arial"/>
          <w:sz w:val="22"/>
        </w:rPr>
        <w:t xml:space="preserve">N° de parcelle : </w:t>
      </w:r>
      <w:r>
        <w:rPr>
          <w:rFonts w:ascii="Arial" w:eastAsia="Times" w:hAnsi="Arial"/>
          <w:sz w:val="22"/>
        </w:rPr>
        <w:tab/>
      </w:r>
    </w:p>
    <w:p w14:paraId="0A931BA6" w14:textId="4898724A" w:rsidR="00653FDF" w:rsidRPr="00653FDF" w:rsidRDefault="00402F14" w:rsidP="00653FDF">
      <w:pPr>
        <w:pStyle w:val="fonction"/>
        <w:pBdr>
          <w:bottom w:val="single" w:sz="4" w:space="1" w:color="auto"/>
        </w:pBdr>
        <w:spacing w:line="260" w:lineRule="atLeast"/>
        <w:jc w:val="both"/>
        <w:rPr>
          <w:rFonts w:ascii="Arial" w:hAnsi="Arial"/>
          <w:b/>
          <w:sz w:val="22"/>
        </w:rPr>
      </w:pPr>
      <w:r w:rsidRPr="00CA12D3">
        <w:rPr>
          <w:rFonts w:ascii="Arial" w:hAnsi="Arial"/>
          <w:b/>
          <w:sz w:val="22"/>
        </w:rPr>
        <w:t xml:space="preserve">Par la présente, le propriétaire consent à l’inscription de l’objet </w:t>
      </w:r>
      <w:r>
        <w:rPr>
          <w:rFonts w:ascii="Arial" w:hAnsi="Arial"/>
          <w:b/>
          <w:sz w:val="22"/>
        </w:rPr>
        <w:t xml:space="preserve">précité </w:t>
      </w:r>
      <w:r w:rsidRPr="00CA12D3">
        <w:rPr>
          <w:rFonts w:ascii="Arial" w:hAnsi="Arial"/>
          <w:b/>
          <w:sz w:val="22"/>
        </w:rPr>
        <w:t>à l’inventaire des monuments historique</w:t>
      </w:r>
      <w:r>
        <w:rPr>
          <w:rFonts w:ascii="Arial" w:hAnsi="Arial"/>
          <w:b/>
          <w:sz w:val="22"/>
        </w:rPr>
        <w:t>s</w:t>
      </w:r>
      <w:r w:rsidRPr="00CA12D3">
        <w:rPr>
          <w:rFonts w:ascii="Arial" w:hAnsi="Arial"/>
          <w:b/>
          <w:sz w:val="22"/>
        </w:rPr>
        <w:t>.</w:t>
      </w:r>
    </w:p>
    <w:p w14:paraId="281034D7" w14:textId="5BD93C15" w:rsidR="00402F14" w:rsidRDefault="00653FDF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Prénom et n</w:t>
      </w:r>
      <w:r w:rsidR="00402F14">
        <w:rPr>
          <w:rFonts w:ascii="Arial" w:hAnsi="Arial"/>
          <w:sz w:val="22"/>
        </w:rPr>
        <w:t>om :</w:t>
      </w:r>
      <w:r w:rsidR="00402F14">
        <w:rPr>
          <w:rFonts w:ascii="Arial" w:hAnsi="Arial"/>
          <w:sz w:val="22"/>
        </w:rPr>
        <w:tab/>
      </w:r>
    </w:p>
    <w:p w14:paraId="10C7F546" w14:textId="77777777" w:rsidR="00402F14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Date :</w:t>
      </w:r>
      <w:r>
        <w:rPr>
          <w:rFonts w:ascii="Arial" w:hAnsi="Arial"/>
          <w:sz w:val="22"/>
        </w:rPr>
        <w:tab/>
      </w:r>
    </w:p>
    <w:p w14:paraId="7670672E" w14:textId="22A89C47" w:rsidR="00653FDF" w:rsidRDefault="00402F14" w:rsidP="00653FDF">
      <w:pPr>
        <w:pStyle w:val="fonction"/>
        <w:pBdr>
          <w:bottom w:val="single" w:sz="4" w:space="1" w:color="auto"/>
        </w:pBdr>
        <w:tabs>
          <w:tab w:val="left" w:leader="underscore" w:pos="9072"/>
        </w:tabs>
        <w:spacing w:line="48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Signature du propriétaire :</w:t>
      </w:r>
      <w:r>
        <w:rPr>
          <w:rFonts w:ascii="Arial" w:hAnsi="Arial"/>
          <w:sz w:val="22"/>
        </w:rPr>
        <w:tab/>
      </w:r>
    </w:p>
    <w:p w14:paraId="5FED0368" w14:textId="77777777" w:rsidR="00653FDF" w:rsidRDefault="00653FDF" w:rsidP="00CA12D3">
      <w:pPr>
        <w:pStyle w:val="Texte1013"/>
        <w:spacing w:line="276" w:lineRule="auto"/>
        <w:jc w:val="both"/>
        <w:rPr>
          <w:sz w:val="22"/>
        </w:rPr>
      </w:pPr>
    </w:p>
    <w:p w14:paraId="5C730DFD" w14:textId="5EB3BF39" w:rsidR="00967524" w:rsidRDefault="00127C07" w:rsidP="00CA12D3">
      <w:pPr>
        <w:pStyle w:val="Texte1013"/>
        <w:spacing w:line="276" w:lineRule="auto"/>
        <w:jc w:val="both"/>
        <w:rPr>
          <w:sz w:val="22"/>
        </w:rPr>
      </w:pPr>
      <w:r>
        <w:rPr>
          <w:sz w:val="22"/>
        </w:rPr>
        <w:t xml:space="preserve">En vertu de la </w:t>
      </w:r>
      <w:r w:rsidR="00402F14">
        <w:rPr>
          <w:sz w:val="22"/>
        </w:rPr>
        <w:t>l</w:t>
      </w:r>
      <w:r>
        <w:rPr>
          <w:sz w:val="22"/>
        </w:rPr>
        <w:t>oi sur la conservation des objets d’art et monuments historiques (RSJU 445.1</w:t>
      </w:r>
      <w:r w:rsidR="007002D0">
        <w:rPr>
          <w:sz w:val="22"/>
        </w:rPr>
        <w:t>,</w:t>
      </w:r>
      <w:r>
        <w:rPr>
          <w:sz w:val="22"/>
        </w:rPr>
        <w:t xml:space="preserve">), l’inscription à l’inventaire des monuments historiques entraîne les conséquences suivantes : </w:t>
      </w:r>
      <w:r w:rsidR="00967524">
        <w:rPr>
          <w:sz w:val="22"/>
        </w:rPr>
        <w:fldChar w:fldCharType="begin"/>
      </w:r>
      <w:r w:rsidR="00967524">
        <w:rPr>
          <w:sz w:val="22"/>
        </w:rPr>
        <w:instrText xml:space="preserve">  </w:instrText>
      </w:r>
      <w:r w:rsidR="00967524">
        <w:rPr>
          <w:sz w:val="22"/>
        </w:rPr>
        <w:fldChar w:fldCharType="end"/>
      </w:r>
    </w:p>
    <w:p w14:paraId="44EC91F4" w14:textId="77777777" w:rsidR="00967524" w:rsidRDefault="00967524" w:rsidP="00CA12D3">
      <w:pPr>
        <w:pStyle w:val="Texte1013"/>
        <w:spacing w:line="276" w:lineRule="auto"/>
        <w:jc w:val="both"/>
        <w:rPr>
          <w:sz w:val="22"/>
        </w:rPr>
      </w:pPr>
    </w:p>
    <w:p w14:paraId="42A81ED3" w14:textId="77777777" w:rsidR="00967524" w:rsidRDefault="00127C07" w:rsidP="00CA12D3">
      <w:pPr>
        <w:pStyle w:val="Texte1013"/>
        <w:numPr>
          <w:ilvl w:val="0"/>
          <w:numId w:val="1"/>
        </w:numPr>
        <w:spacing w:line="276" w:lineRule="auto"/>
        <w:jc w:val="both"/>
        <w:rPr>
          <w:sz w:val="22"/>
        </w:rPr>
      </w:pPr>
      <w:bookmarkStart w:id="0" w:name="_Hlk210308679"/>
      <w:r>
        <w:rPr>
          <w:sz w:val="22"/>
        </w:rPr>
        <w:t>L’objet inscrit doit être conservé.</w:t>
      </w:r>
    </w:p>
    <w:p w14:paraId="46B34EAE" w14:textId="77777777" w:rsidR="00127C07" w:rsidRDefault="00127C07" w:rsidP="00CA12D3">
      <w:pPr>
        <w:pStyle w:val="Texte1013"/>
        <w:spacing w:line="276" w:lineRule="auto"/>
        <w:ind w:left="720"/>
        <w:jc w:val="both"/>
        <w:rPr>
          <w:sz w:val="22"/>
        </w:rPr>
      </w:pPr>
    </w:p>
    <w:p w14:paraId="67DE54BB" w14:textId="7534EF69" w:rsidR="00127C07" w:rsidRDefault="00127C07" w:rsidP="00CA12D3">
      <w:pPr>
        <w:pStyle w:val="Texte1013"/>
        <w:numPr>
          <w:ilvl w:val="0"/>
          <w:numId w:val="1"/>
        </w:numPr>
        <w:spacing w:line="276" w:lineRule="auto"/>
        <w:jc w:val="both"/>
        <w:rPr>
          <w:sz w:val="22"/>
        </w:rPr>
      </w:pPr>
      <w:r>
        <w:rPr>
          <w:sz w:val="22"/>
        </w:rPr>
        <w:t>Les modifications de toute</w:t>
      </w:r>
      <w:r w:rsidR="00D65140">
        <w:rPr>
          <w:sz w:val="22"/>
        </w:rPr>
        <w:t>s</w:t>
      </w:r>
      <w:r>
        <w:rPr>
          <w:sz w:val="22"/>
        </w:rPr>
        <w:t xml:space="preserve"> sorte</w:t>
      </w:r>
      <w:r w:rsidR="00D65140">
        <w:rPr>
          <w:sz w:val="22"/>
        </w:rPr>
        <w:t>s</w:t>
      </w:r>
      <w:r>
        <w:rPr>
          <w:sz w:val="22"/>
        </w:rPr>
        <w:t xml:space="preserve">, ainsi que les travaux d’entretien sont </w:t>
      </w:r>
      <w:proofErr w:type="gramStart"/>
      <w:r>
        <w:rPr>
          <w:sz w:val="22"/>
        </w:rPr>
        <w:t>entrepris</w:t>
      </w:r>
      <w:proofErr w:type="gramEnd"/>
      <w:r>
        <w:rPr>
          <w:sz w:val="22"/>
        </w:rPr>
        <w:t xml:space="preserve"> d’entente avec la Section des monuments historiques de l’Office de la culture.</w:t>
      </w:r>
    </w:p>
    <w:p w14:paraId="57657CDF" w14:textId="77777777" w:rsidR="00127C07" w:rsidRDefault="00127C07" w:rsidP="00CA12D3">
      <w:pPr>
        <w:pStyle w:val="Texte1013"/>
        <w:spacing w:line="276" w:lineRule="auto"/>
        <w:jc w:val="both"/>
        <w:rPr>
          <w:sz w:val="22"/>
        </w:rPr>
      </w:pPr>
    </w:p>
    <w:p w14:paraId="6B746946" w14:textId="77777777" w:rsidR="00127C07" w:rsidRDefault="00127C07" w:rsidP="00CA12D3">
      <w:pPr>
        <w:pStyle w:val="Texte1013"/>
        <w:numPr>
          <w:ilvl w:val="0"/>
          <w:numId w:val="1"/>
        </w:numPr>
        <w:spacing w:line="276" w:lineRule="auto"/>
        <w:jc w:val="both"/>
        <w:rPr>
          <w:sz w:val="22"/>
        </w:rPr>
      </w:pPr>
      <w:r>
        <w:rPr>
          <w:sz w:val="22"/>
        </w:rPr>
        <w:t>Les modifications des alentours de l’objet inscrit ne doivent pas porter atteinte à celui-ci. Lors de constructions nouvelles ou de modifications des alentours, la Section des monuments historiques de l’Office de la culture doit être consultée.</w:t>
      </w:r>
    </w:p>
    <w:bookmarkEnd w:id="0"/>
    <w:sectPr w:rsidR="00127C07">
      <w:footerReference w:type="default" r:id="rId9"/>
      <w:footerReference w:type="first" r:id="rId10"/>
      <w:pgSz w:w="11906" w:h="16838" w:code="9"/>
      <w:pgMar w:top="2835" w:right="1134" w:bottom="1134" w:left="1134" w:header="720" w:footer="72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AAAFA" w14:textId="77777777" w:rsidR="00127C07" w:rsidRDefault="00127C07">
      <w:r>
        <w:separator/>
      </w:r>
    </w:p>
  </w:endnote>
  <w:endnote w:type="continuationSeparator" w:id="0">
    <w:p w14:paraId="5EB6E901" w14:textId="77777777" w:rsidR="00127C07" w:rsidRDefault="00127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(W1)">
    <w:altName w:val="Microsoft Sans Serif"/>
    <w:charset w:val="00"/>
    <w:family w:val="swiss"/>
    <w:pitch w:val="variable"/>
    <w:sig w:usb0="00000000" w:usb1="80000000" w:usb2="00000008" w:usb3="00000000" w:csb0="000001FF" w:csb1="00000000"/>
  </w:font>
  <w:font w:name="L Univers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Univers LT Std 45 Ligh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05CE" w14:textId="77777777" w:rsidR="00967524" w:rsidRDefault="00967524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8E1C7" w14:textId="77777777" w:rsidR="00967524" w:rsidRDefault="00967524">
    <w:pPr>
      <w:pStyle w:val="Pieddepage"/>
      <w:rPr>
        <w:lang w:val="fr-CH"/>
      </w:rPr>
    </w:pPr>
    <w:r>
      <w:rPr>
        <w:lang w:val="fr-CH"/>
      </w:rPr>
      <w:t>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9EC63" w14:textId="77777777" w:rsidR="00127C07" w:rsidRDefault="00127C07">
      <w:r>
        <w:separator/>
      </w:r>
    </w:p>
  </w:footnote>
  <w:footnote w:type="continuationSeparator" w:id="0">
    <w:p w14:paraId="3E9749F7" w14:textId="77777777" w:rsidR="00127C07" w:rsidRDefault="00127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600DD"/>
    <w:multiLevelType w:val="hybridMultilevel"/>
    <w:tmpl w:val="7ACA0594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7458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07"/>
    <w:rsid w:val="000657D6"/>
    <w:rsid w:val="0009327E"/>
    <w:rsid w:val="00127C07"/>
    <w:rsid w:val="001D5975"/>
    <w:rsid w:val="00276D84"/>
    <w:rsid w:val="00283CD4"/>
    <w:rsid w:val="00402F14"/>
    <w:rsid w:val="004E6352"/>
    <w:rsid w:val="005F45F3"/>
    <w:rsid w:val="006212B1"/>
    <w:rsid w:val="00653FDF"/>
    <w:rsid w:val="006B5757"/>
    <w:rsid w:val="007002D0"/>
    <w:rsid w:val="00747484"/>
    <w:rsid w:val="007733FC"/>
    <w:rsid w:val="007C6FF3"/>
    <w:rsid w:val="00841806"/>
    <w:rsid w:val="00863A21"/>
    <w:rsid w:val="00865319"/>
    <w:rsid w:val="00967524"/>
    <w:rsid w:val="009A33CA"/>
    <w:rsid w:val="00B32CC2"/>
    <w:rsid w:val="00B61605"/>
    <w:rsid w:val="00BF0456"/>
    <w:rsid w:val="00C52D8B"/>
    <w:rsid w:val="00C86DD1"/>
    <w:rsid w:val="00CA12D3"/>
    <w:rsid w:val="00CE07EA"/>
    <w:rsid w:val="00D65140"/>
    <w:rsid w:val="00E0366B"/>
    <w:rsid w:val="00E3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4ECD233"/>
  <w15:chartTrackingRefBased/>
  <w15:docId w15:val="{B6D7CAE9-F8D5-4AB1-8BDD-B0C4D8B6B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 (W1)" w:hAnsi="Arial (W1)"/>
      <w:sz w:val="2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Univers LT Std 45 Light" w:hAnsi="Univers LT Std 45 Light"/>
      <w:sz w:val="12"/>
    </w:rPr>
  </w:style>
  <w:style w:type="paragraph" w:customStyle="1" w:styleId="Texte1013">
    <w:name w:val="Texte 10/13"/>
    <w:basedOn w:val="Normal"/>
    <w:pPr>
      <w:spacing w:line="260" w:lineRule="atLeast"/>
    </w:pPr>
    <w:rPr>
      <w:rFonts w:ascii="Arial" w:eastAsia="Times" w:hAnsi="Arial"/>
      <w:sz w:val="20"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3120" w:after="200"/>
    </w:pPr>
    <w:rPr>
      <w:rFonts w:ascii="Arial" w:hAnsi="Arial"/>
      <w:sz w:val="20"/>
    </w:rPr>
  </w:style>
  <w:style w:type="paragraph" w:customStyle="1" w:styleId="fonction">
    <w:name w:val="fonction"/>
    <w:basedOn w:val="Normal"/>
    <w:pPr>
      <w:spacing w:after="120"/>
    </w:pPr>
    <w:rPr>
      <w:rFonts w:ascii="Univers LT Std 45 Light" w:hAnsi="Univers LT Std 45 Light"/>
      <w:sz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Titre2628">
    <w:name w:val="Titre 26/28"/>
    <w:basedOn w:val="Texte1013"/>
    <w:pPr>
      <w:spacing w:line="560" w:lineRule="atLeast"/>
    </w:pPr>
    <w:rPr>
      <w:b/>
      <w:sz w:val="52"/>
    </w:rPr>
  </w:style>
  <w:style w:type="paragraph" w:customStyle="1" w:styleId="Titre2228">
    <w:name w:val="Titre 22/28"/>
    <w:basedOn w:val="Texte1013"/>
    <w:pPr>
      <w:spacing w:line="560" w:lineRule="atLeast"/>
    </w:pPr>
    <w:rPr>
      <w:b/>
      <w:sz w:val="44"/>
    </w:rPr>
  </w:style>
  <w:style w:type="paragraph" w:customStyle="1" w:styleId="Destinataire">
    <w:name w:val="Destinataire"/>
    <w:basedOn w:val="Texte1013"/>
    <w:pPr>
      <w:spacing w:after="720" w:line="600" w:lineRule="atLeast"/>
    </w:pPr>
    <w:rPr>
      <w:b/>
    </w:rPr>
  </w:style>
  <w:style w:type="paragraph" w:customStyle="1" w:styleId="chapitre">
    <w:name w:val="chapitre"/>
    <w:basedOn w:val="fonction"/>
    <w:pPr>
      <w:spacing w:after="0" w:line="260" w:lineRule="atLeast"/>
    </w:pPr>
    <w:rPr>
      <w:rFonts w:ascii="Arial" w:hAnsi="Arial"/>
      <w:b/>
      <w:sz w:val="20"/>
    </w:rPr>
  </w:style>
  <w:style w:type="paragraph" w:customStyle="1" w:styleId="titrechapitre">
    <w:name w:val="titre chapitre"/>
    <w:basedOn w:val="Normal"/>
    <w:rPr>
      <w:rFonts w:ascii="Arial" w:hAnsi="Arial"/>
    </w:rPr>
  </w:style>
  <w:style w:type="paragraph" w:styleId="Paragraphedeliste">
    <w:name w:val="List Paragraph"/>
    <w:basedOn w:val="Normal"/>
    <w:uiPriority w:val="34"/>
    <w:qFormat/>
    <w:rsid w:val="00127C07"/>
    <w:pPr>
      <w:ind w:left="720"/>
      <w:contextualSpacing/>
    </w:pPr>
  </w:style>
  <w:style w:type="paragraph" w:styleId="Rvision">
    <w:name w:val="Revision"/>
    <w:hidden/>
    <w:uiPriority w:val="99"/>
    <w:semiHidden/>
    <w:rsid w:val="00D65140"/>
    <w:rPr>
      <w:rFonts w:ascii="Arial (W1)" w:hAnsi="Arial (W1)"/>
      <w:sz w:val="22"/>
      <w:lang w:val="fr-FR" w:eastAsia="fr-FR"/>
    </w:rPr>
  </w:style>
  <w:style w:type="character" w:styleId="Marquedecommentaire">
    <w:name w:val="annotation reference"/>
    <w:basedOn w:val="Policepardfaut"/>
    <w:rsid w:val="00D65140"/>
    <w:rPr>
      <w:sz w:val="16"/>
      <w:szCs w:val="16"/>
    </w:rPr>
  </w:style>
  <w:style w:type="paragraph" w:styleId="Commentaire">
    <w:name w:val="annotation text"/>
    <w:basedOn w:val="Normal"/>
    <w:link w:val="CommentaireCar"/>
    <w:rsid w:val="00D65140"/>
    <w:rPr>
      <w:sz w:val="20"/>
    </w:rPr>
  </w:style>
  <w:style w:type="character" w:customStyle="1" w:styleId="CommentaireCar">
    <w:name w:val="Commentaire Car"/>
    <w:basedOn w:val="Policepardfaut"/>
    <w:link w:val="Commentaire"/>
    <w:rsid w:val="00D65140"/>
    <w:rPr>
      <w:rFonts w:ascii="Arial (W1)" w:hAnsi="Arial (W1)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D6514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D65140"/>
    <w:rPr>
      <w:rFonts w:ascii="Arial (W1)" w:hAnsi="Arial (W1)"/>
      <w:b/>
      <w:bCs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87815-2F1D-4DFC-BF10-ED76F392A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de l'économie – 12, rue de la Préfecture, 2800 Delémont</vt:lpstr>
    </vt:vector>
  </TitlesOfParts>
  <Company>RCJU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de l'économie – 12, rue de la Préfecture, 2800 Delémont</dc:title>
  <dc:subject/>
  <dc:creator>Hubleur Lucie</dc:creator>
  <cp:keywords/>
  <dc:description/>
  <cp:lastModifiedBy>Cattin Nathalie</cp:lastModifiedBy>
  <cp:revision>3</cp:revision>
  <cp:lastPrinted>2004-05-05T13:32:00Z</cp:lastPrinted>
  <dcterms:created xsi:type="dcterms:W3CDTF">2025-10-02T12:58:00Z</dcterms:created>
  <dcterms:modified xsi:type="dcterms:W3CDTF">2025-11-24T08:11:00Z</dcterms:modified>
</cp:coreProperties>
</file>