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6CAB3" w14:textId="3365DF7E" w:rsidR="00554650" w:rsidRDefault="00F96871" w:rsidP="00554650">
      <w:pPr>
        <w:spacing w:after="0"/>
      </w:pPr>
      <w:r>
        <w:t>Commune</w:t>
      </w:r>
      <w:r w:rsidR="00554650">
        <w:t xml:space="preserve"> de </w:t>
      </w:r>
      <w:r w:rsidR="00554650" w:rsidRPr="00F92689">
        <w:rPr>
          <w:highlight w:val="yellow"/>
        </w:rPr>
        <w:t>[…]</w:t>
      </w:r>
    </w:p>
    <w:p w14:paraId="714B0666" w14:textId="77777777" w:rsidR="00554650" w:rsidRDefault="00554650" w:rsidP="00554650">
      <w:pPr>
        <w:spacing w:after="0"/>
      </w:pPr>
      <w:r w:rsidRPr="00F92689">
        <w:rPr>
          <w:highlight w:val="yellow"/>
        </w:rPr>
        <w:t>[Adresse]</w:t>
      </w:r>
    </w:p>
    <w:p w14:paraId="66415AEF" w14:textId="77777777" w:rsidR="00554650" w:rsidRDefault="00554650" w:rsidP="00554650">
      <w:r w:rsidRPr="00F92689">
        <w:rPr>
          <w:highlight w:val="yellow"/>
        </w:rPr>
        <w:t>[Code postal et localité]</w:t>
      </w:r>
    </w:p>
    <w:p w14:paraId="744A619B" w14:textId="77777777" w:rsidR="00554650" w:rsidRDefault="00554650" w:rsidP="00554650"/>
    <w:p w14:paraId="648F6EE4" w14:textId="77777777" w:rsidR="00554650" w:rsidRDefault="00554650" w:rsidP="00554650"/>
    <w:p w14:paraId="6D9E1D22" w14:textId="77777777" w:rsidR="00FB3148" w:rsidRPr="00FB3148" w:rsidRDefault="00554650" w:rsidP="00554650">
      <w:pPr>
        <w:spacing w:after="0"/>
        <w:rPr>
          <w:b/>
        </w:rPr>
      </w:pPr>
      <w:r>
        <w:tab/>
      </w:r>
      <w:r>
        <w:tab/>
      </w:r>
      <w:r>
        <w:tab/>
      </w:r>
      <w:r>
        <w:tab/>
      </w:r>
      <w:r>
        <w:tab/>
      </w:r>
      <w:r>
        <w:tab/>
      </w:r>
      <w:r>
        <w:tab/>
      </w:r>
      <w:r>
        <w:tab/>
      </w:r>
      <w:r>
        <w:tab/>
      </w:r>
      <w:r w:rsidR="00FB3148" w:rsidRPr="00FB3148">
        <w:rPr>
          <w:b/>
        </w:rPr>
        <w:t>Recommandé</w:t>
      </w:r>
    </w:p>
    <w:p w14:paraId="65D0884D" w14:textId="77777777" w:rsidR="00554650" w:rsidRDefault="00554650" w:rsidP="00FB3148">
      <w:pPr>
        <w:spacing w:after="0"/>
        <w:ind w:left="5664" w:firstLine="708"/>
      </w:pPr>
      <w:r w:rsidRPr="00F92689">
        <w:rPr>
          <w:highlight w:val="yellow"/>
        </w:rPr>
        <w:t>[Nom et prénom]</w:t>
      </w:r>
    </w:p>
    <w:p w14:paraId="0C09E1FE" w14:textId="77777777" w:rsidR="00554650" w:rsidRDefault="00554650" w:rsidP="00554650">
      <w:pPr>
        <w:spacing w:after="0"/>
      </w:pPr>
      <w:r>
        <w:tab/>
      </w:r>
      <w:r>
        <w:tab/>
      </w:r>
      <w:r>
        <w:tab/>
      </w:r>
      <w:r>
        <w:tab/>
      </w:r>
      <w:r>
        <w:tab/>
      </w:r>
      <w:r>
        <w:tab/>
      </w:r>
      <w:r>
        <w:tab/>
      </w:r>
      <w:r>
        <w:tab/>
      </w:r>
      <w:r>
        <w:tab/>
      </w:r>
      <w:r w:rsidRPr="00F92689">
        <w:rPr>
          <w:highlight w:val="yellow"/>
        </w:rPr>
        <w:t>[Adresse]</w:t>
      </w:r>
    </w:p>
    <w:p w14:paraId="722F95F3" w14:textId="77777777" w:rsidR="00554650" w:rsidRPr="008234C8" w:rsidRDefault="00554650" w:rsidP="00554650">
      <w:r>
        <w:tab/>
      </w:r>
      <w:r>
        <w:tab/>
      </w:r>
      <w:r>
        <w:tab/>
      </w:r>
      <w:r>
        <w:tab/>
      </w:r>
      <w:r>
        <w:tab/>
      </w:r>
      <w:r>
        <w:tab/>
      </w:r>
      <w:r>
        <w:tab/>
      </w:r>
      <w:r>
        <w:tab/>
      </w:r>
      <w:r>
        <w:tab/>
      </w:r>
      <w:r w:rsidRPr="00F92689">
        <w:rPr>
          <w:highlight w:val="yellow"/>
        </w:rPr>
        <w:t>[Code postal et localité]</w:t>
      </w:r>
    </w:p>
    <w:p w14:paraId="269892D3" w14:textId="77777777" w:rsidR="00554650" w:rsidRDefault="00554650" w:rsidP="00554650"/>
    <w:p w14:paraId="464572C2" w14:textId="77777777" w:rsidR="00554650" w:rsidRDefault="00554650" w:rsidP="00554650">
      <w:r>
        <w:tab/>
      </w:r>
      <w:r>
        <w:tab/>
      </w:r>
      <w:r>
        <w:tab/>
      </w:r>
      <w:r>
        <w:tab/>
      </w:r>
      <w:r>
        <w:tab/>
      </w:r>
      <w:r>
        <w:tab/>
      </w:r>
      <w:r>
        <w:tab/>
      </w:r>
      <w:r>
        <w:tab/>
      </w:r>
      <w:r>
        <w:tab/>
      </w:r>
      <w:r w:rsidRPr="00E14018">
        <w:rPr>
          <w:highlight w:val="yellow"/>
        </w:rPr>
        <w:t>[Commune]</w:t>
      </w:r>
      <w:r>
        <w:t xml:space="preserve">, le </w:t>
      </w:r>
      <w:r w:rsidRPr="00E14018">
        <w:rPr>
          <w:highlight w:val="yellow"/>
        </w:rPr>
        <w:t>[date]</w:t>
      </w:r>
    </w:p>
    <w:p w14:paraId="7150489A" w14:textId="77777777" w:rsidR="00554650" w:rsidRDefault="00554650" w:rsidP="00554650"/>
    <w:p w14:paraId="2FFE2AC4" w14:textId="77777777" w:rsidR="00554650" w:rsidRDefault="00554650" w:rsidP="00554650"/>
    <w:p w14:paraId="44BB6D8E" w14:textId="77777777" w:rsidR="0078221C" w:rsidRPr="0078221C" w:rsidRDefault="0078221C" w:rsidP="00D04785">
      <w:pPr>
        <w:spacing w:after="480" w:line="260" w:lineRule="atLeast"/>
        <w:rPr>
          <w:rFonts w:eastAsia="Times"/>
          <w:b/>
          <w:bCs/>
          <w:sz w:val="24"/>
          <w:szCs w:val="24"/>
          <w:lang w:eastAsia="fr-CH"/>
        </w:rPr>
      </w:pPr>
      <w:r w:rsidRPr="0078221C">
        <w:rPr>
          <w:rFonts w:eastAsia="Times"/>
          <w:b/>
          <w:bCs/>
          <w:sz w:val="24"/>
          <w:szCs w:val="24"/>
          <w:lang w:eastAsia="fr-CH"/>
        </w:rPr>
        <w:t xml:space="preserve">Décision relative </w:t>
      </w:r>
      <w:r w:rsidR="00192A4F">
        <w:rPr>
          <w:rFonts w:eastAsia="Times"/>
          <w:b/>
          <w:bCs/>
          <w:sz w:val="24"/>
          <w:szCs w:val="24"/>
          <w:lang w:eastAsia="fr-CH"/>
        </w:rPr>
        <w:t xml:space="preserve">à </w:t>
      </w:r>
      <w:r w:rsidR="00554650">
        <w:rPr>
          <w:rFonts w:eastAsia="Times"/>
          <w:b/>
          <w:bCs/>
          <w:sz w:val="24"/>
          <w:szCs w:val="24"/>
          <w:lang w:eastAsia="fr-CH"/>
        </w:rPr>
        <w:t>l’exercice du</w:t>
      </w:r>
      <w:r w:rsidR="00192A4F">
        <w:rPr>
          <w:rFonts w:eastAsia="Times"/>
          <w:b/>
          <w:bCs/>
          <w:sz w:val="24"/>
          <w:szCs w:val="24"/>
          <w:lang w:eastAsia="fr-CH"/>
        </w:rPr>
        <w:t xml:space="preserve"> droit d’emption</w:t>
      </w:r>
      <w:r w:rsidR="00554650">
        <w:rPr>
          <w:rFonts w:eastAsia="Times"/>
          <w:b/>
          <w:bCs/>
          <w:sz w:val="24"/>
          <w:szCs w:val="24"/>
          <w:lang w:eastAsia="fr-CH"/>
        </w:rPr>
        <w:t xml:space="preserve"> légal</w:t>
      </w:r>
      <w:r w:rsidR="00192A4F">
        <w:rPr>
          <w:rFonts w:eastAsia="Times"/>
          <w:b/>
          <w:bCs/>
          <w:sz w:val="24"/>
          <w:szCs w:val="24"/>
          <w:lang w:eastAsia="fr-CH"/>
        </w:rPr>
        <w:t xml:space="preserve"> </w:t>
      </w:r>
      <w:r w:rsidR="0080605E">
        <w:rPr>
          <w:rFonts w:eastAsia="Times"/>
          <w:b/>
          <w:bCs/>
          <w:sz w:val="24"/>
          <w:szCs w:val="24"/>
          <w:lang w:eastAsia="fr-CH"/>
        </w:rPr>
        <w:t xml:space="preserve">en faveur de la commune de </w:t>
      </w:r>
      <w:r w:rsidR="0080605E" w:rsidRPr="0080605E">
        <w:rPr>
          <w:rFonts w:eastAsia="Times"/>
          <w:b/>
          <w:bCs/>
          <w:sz w:val="24"/>
          <w:szCs w:val="24"/>
          <w:highlight w:val="yellow"/>
          <w:lang w:eastAsia="fr-CH"/>
        </w:rPr>
        <w:t>[…]</w:t>
      </w:r>
      <w:r w:rsidR="0080605E">
        <w:rPr>
          <w:rFonts w:eastAsia="Times"/>
          <w:b/>
          <w:bCs/>
          <w:sz w:val="24"/>
          <w:szCs w:val="24"/>
          <w:lang w:eastAsia="fr-CH"/>
        </w:rPr>
        <w:t xml:space="preserve"> sur la p</w:t>
      </w:r>
      <w:r>
        <w:rPr>
          <w:rFonts w:eastAsia="Times"/>
          <w:b/>
          <w:bCs/>
          <w:sz w:val="24"/>
          <w:szCs w:val="24"/>
          <w:lang w:eastAsia="fr-CH"/>
        </w:rPr>
        <w:t>arcelle n</w:t>
      </w:r>
      <w:proofErr w:type="gramStart"/>
      <w:r>
        <w:rPr>
          <w:rFonts w:eastAsia="Times"/>
          <w:b/>
          <w:bCs/>
          <w:sz w:val="24"/>
          <w:szCs w:val="24"/>
          <w:lang w:eastAsia="fr-CH"/>
        </w:rPr>
        <w:t>°</w:t>
      </w:r>
      <w:r w:rsidRPr="0078221C">
        <w:rPr>
          <w:rFonts w:eastAsia="Times"/>
          <w:b/>
          <w:bCs/>
          <w:sz w:val="24"/>
          <w:szCs w:val="24"/>
          <w:highlight w:val="yellow"/>
          <w:lang w:eastAsia="fr-CH"/>
        </w:rPr>
        <w:t>[</w:t>
      </w:r>
      <w:proofErr w:type="gramEnd"/>
      <w:r w:rsidRPr="0078221C">
        <w:rPr>
          <w:rFonts w:eastAsia="Times"/>
          <w:b/>
          <w:bCs/>
          <w:sz w:val="24"/>
          <w:szCs w:val="24"/>
          <w:highlight w:val="yellow"/>
          <w:lang w:eastAsia="fr-CH"/>
        </w:rPr>
        <w:t>…]</w:t>
      </w:r>
      <w:r>
        <w:rPr>
          <w:rFonts w:eastAsia="Times"/>
          <w:b/>
          <w:bCs/>
          <w:sz w:val="24"/>
          <w:szCs w:val="24"/>
          <w:lang w:eastAsia="fr-CH"/>
        </w:rPr>
        <w:t xml:space="preserve"> du ban de </w:t>
      </w:r>
      <w:r w:rsidRPr="00192A4F">
        <w:rPr>
          <w:rFonts w:eastAsia="Times"/>
          <w:b/>
          <w:bCs/>
          <w:sz w:val="24"/>
          <w:szCs w:val="24"/>
          <w:highlight w:val="yellow"/>
          <w:lang w:eastAsia="fr-CH"/>
        </w:rPr>
        <w:t>[…]</w:t>
      </w:r>
    </w:p>
    <w:p w14:paraId="6566BDF2" w14:textId="77777777" w:rsidR="0078221C" w:rsidRPr="0078221C" w:rsidRDefault="0078221C" w:rsidP="0078221C">
      <w:pPr>
        <w:spacing w:after="0" w:line="240" w:lineRule="auto"/>
        <w:rPr>
          <w:rFonts w:eastAsia="Times New Roman"/>
          <w:lang w:eastAsia="fr-CH"/>
        </w:rPr>
      </w:pPr>
      <w:r w:rsidRPr="0078221C">
        <w:rPr>
          <w:rFonts w:eastAsia="Times New Roman"/>
          <w:lang w:eastAsia="fr-CH"/>
        </w:rPr>
        <w:t xml:space="preserve">Le </w:t>
      </w:r>
      <w:r>
        <w:rPr>
          <w:rFonts w:eastAsia="Times New Roman"/>
          <w:lang w:eastAsia="fr-CH"/>
        </w:rPr>
        <w:t xml:space="preserve">Conseil communal de </w:t>
      </w:r>
      <w:r w:rsidRPr="0078221C">
        <w:rPr>
          <w:rFonts w:eastAsia="Times New Roman"/>
          <w:highlight w:val="yellow"/>
          <w:lang w:eastAsia="fr-CH"/>
        </w:rPr>
        <w:t>[…]</w:t>
      </w:r>
      <w:r w:rsidRPr="0078221C">
        <w:rPr>
          <w:rFonts w:eastAsia="Times New Roman"/>
          <w:lang w:eastAsia="fr-CH"/>
        </w:rPr>
        <w:t> ;</w:t>
      </w:r>
    </w:p>
    <w:p w14:paraId="3191D331" w14:textId="77777777" w:rsidR="0078221C" w:rsidRPr="0078221C" w:rsidRDefault="0078221C" w:rsidP="0078221C">
      <w:pPr>
        <w:spacing w:after="0" w:line="240" w:lineRule="auto"/>
        <w:rPr>
          <w:rFonts w:eastAsia="Times New Roman"/>
          <w:lang w:eastAsia="fr-CH"/>
        </w:rPr>
      </w:pPr>
    </w:p>
    <w:p w14:paraId="425FD651" w14:textId="77777777" w:rsidR="0078221C" w:rsidRPr="0078221C" w:rsidRDefault="000B3B5F" w:rsidP="0078221C">
      <w:pPr>
        <w:spacing w:after="0" w:line="240" w:lineRule="auto"/>
        <w:rPr>
          <w:rFonts w:eastAsia="Times New Roman"/>
          <w:lang w:eastAsia="fr-CH"/>
        </w:rPr>
      </w:pPr>
      <w:proofErr w:type="gramStart"/>
      <w:r>
        <w:rPr>
          <w:rFonts w:eastAsia="Times New Roman"/>
          <w:lang w:eastAsia="fr-CH"/>
        </w:rPr>
        <w:t>vu</w:t>
      </w:r>
      <w:proofErr w:type="gramEnd"/>
      <w:r>
        <w:rPr>
          <w:rFonts w:eastAsia="Times New Roman"/>
          <w:lang w:eastAsia="fr-CH"/>
        </w:rPr>
        <w:t xml:space="preserve"> les art</w:t>
      </w:r>
      <w:r w:rsidR="003B64B1">
        <w:rPr>
          <w:rFonts w:eastAsia="Times New Roman"/>
          <w:lang w:eastAsia="fr-CH"/>
        </w:rPr>
        <w:t>.</w:t>
      </w:r>
      <w:r w:rsidR="0078221C" w:rsidRPr="0078221C">
        <w:rPr>
          <w:rFonts w:eastAsia="Times New Roman"/>
          <w:lang w:eastAsia="fr-CH"/>
        </w:rPr>
        <w:t xml:space="preserve"> </w:t>
      </w:r>
      <w:r>
        <w:rPr>
          <w:rFonts w:eastAsia="Times New Roman"/>
          <w:lang w:eastAsia="fr-CH"/>
        </w:rPr>
        <w:t>15</w:t>
      </w:r>
      <w:r w:rsidR="0078221C" w:rsidRPr="0078221C">
        <w:rPr>
          <w:rFonts w:eastAsia="Times New Roman"/>
          <w:lang w:eastAsia="fr-CH"/>
        </w:rPr>
        <w:t xml:space="preserve"> </w:t>
      </w:r>
      <w:r>
        <w:rPr>
          <w:rFonts w:eastAsia="Times New Roman"/>
          <w:lang w:eastAsia="fr-CH"/>
        </w:rPr>
        <w:t xml:space="preserve">et 15a </w:t>
      </w:r>
      <w:r w:rsidR="0078221C" w:rsidRPr="0078221C">
        <w:rPr>
          <w:rFonts w:eastAsia="Times New Roman"/>
          <w:lang w:eastAsia="fr-CH"/>
        </w:rPr>
        <w:t>de loi fédérale sur l’aménagement du territoire (LAT</w:t>
      </w:r>
      <w:r>
        <w:rPr>
          <w:rFonts w:eastAsia="Times New Roman"/>
          <w:lang w:eastAsia="fr-CH"/>
        </w:rPr>
        <w:t xml:space="preserve"> </w:t>
      </w:r>
      <w:r w:rsidRPr="00C052F9">
        <w:t>; RS 700</w:t>
      </w:r>
      <w:r w:rsidR="0078221C" w:rsidRPr="0078221C">
        <w:rPr>
          <w:rFonts w:eastAsia="Times New Roman"/>
          <w:lang w:eastAsia="fr-CH"/>
        </w:rPr>
        <w:t>) ;</w:t>
      </w:r>
    </w:p>
    <w:p w14:paraId="71ADC142" w14:textId="77777777" w:rsidR="0078221C" w:rsidRPr="0078221C" w:rsidRDefault="0078221C" w:rsidP="0078221C">
      <w:pPr>
        <w:spacing w:after="0" w:line="240" w:lineRule="auto"/>
        <w:rPr>
          <w:rFonts w:eastAsia="Times New Roman"/>
          <w:lang w:eastAsia="fr-CH"/>
        </w:rPr>
      </w:pPr>
    </w:p>
    <w:p w14:paraId="31DBE708" w14:textId="77777777" w:rsidR="0078221C" w:rsidRPr="0078221C" w:rsidRDefault="0078221C" w:rsidP="0078221C">
      <w:pPr>
        <w:spacing w:after="0" w:line="240" w:lineRule="auto"/>
        <w:rPr>
          <w:rFonts w:eastAsia="Times New Roman"/>
          <w:lang w:eastAsia="fr-CH"/>
        </w:rPr>
      </w:pPr>
      <w:proofErr w:type="gramStart"/>
      <w:r w:rsidRPr="0078221C">
        <w:rPr>
          <w:rFonts w:eastAsia="Times New Roman"/>
          <w:lang w:eastAsia="fr-CH"/>
        </w:rPr>
        <w:t>vu</w:t>
      </w:r>
      <w:proofErr w:type="gramEnd"/>
      <w:r w:rsidRPr="0078221C">
        <w:rPr>
          <w:rFonts w:eastAsia="Times New Roman"/>
          <w:lang w:eastAsia="fr-CH"/>
        </w:rPr>
        <w:t xml:space="preserve"> </w:t>
      </w:r>
      <w:r w:rsidR="003B64B1">
        <w:rPr>
          <w:rFonts w:eastAsia="Times New Roman"/>
          <w:lang w:eastAsia="fr-CH"/>
        </w:rPr>
        <w:t>l’art.</w:t>
      </w:r>
      <w:r w:rsidR="000B3B5F">
        <w:rPr>
          <w:rFonts w:eastAsia="Times New Roman"/>
          <w:lang w:eastAsia="fr-CH"/>
        </w:rPr>
        <w:t xml:space="preserve"> 45b </w:t>
      </w:r>
      <w:r w:rsidR="000B3B5F">
        <w:t>de</w:t>
      </w:r>
      <w:r w:rsidR="000B3B5F" w:rsidRPr="00C052F9">
        <w:t xml:space="preserve"> la loi sur les constructions et l’aménagement du territoire (LCAT ; RSJU 701.1)</w:t>
      </w:r>
      <w:r w:rsidR="000B3B5F">
        <w:rPr>
          <w:rFonts w:eastAsia="Times New Roman"/>
          <w:lang w:eastAsia="fr-CH"/>
        </w:rPr>
        <w:t> ;</w:t>
      </w:r>
    </w:p>
    <w:p w14:paraId="5C3AE0AA" w14:textId="77777777" w:rsidR="0078221C" w:rsidRPr="0078221C" w:rsidRDefault="0078221C" w:rsidP="0078221C">
      <w:pPr>
        <w:spacing w:after="0" w:line="240" w:lineRule="auto"/>
        <w:rPr>
          <w:rFonts w:eastAsia="Times New Roman"/>
          <w:lang w:eastAsia="fr-CH"/>
        </w:rPr>
      </w:pPr>
    </w:p>
    <w:p w14:paraId="59C9D3E4" w14:textId="77777777" w:rsidR="0078221C" w:rsidRDefault="0078221C" w:rsidP="0078221C">
      <w:pPr>
        <w:spacing w:after="0" w:line="240" w:lineRule="auto"/>
        <w:rPr>
          <w:rFonts w:eastAsia="Times New Roman"/>
          <w:lang w:eastAsia="fr-CH"/>
        </w:rPr>
      </w:pPr>
      <w:proofErr w:type="gramStart"/>
      <w:r w:rsidRPr="0078221C">
        <w:rPr>
          <w:rFonts w:eastAsia="Times New Roman"/>
          <w:lang w:eastAsia="fr-CH"/>
        </w:rPr>
        <w:t>vu</w:t>
      </w:r>
      <w:proofErr w:type="gramEnd"/>
      <w:r w:rsidRPr="0078221C">
        <w:rPr>
          <w:rFonts w:eastAsia="Times New Roman"/>
          <w:lang w:eastAsia="fr-CH"/>
        </w:rPr>
        <w:t xml:space="preserve"> le courrier de la </w:t>
      </w:r>
      <w:r w:rsidR="000B3B5F">
        <w:rPr>
          <w:rFonts w:eastAsia="Times New Roman"/>
          <w:lang w:eastAsia="fr-CH"/>
        </w:rPr>
        <w:t xml:space="preserve">commune </w:t>
      </w:r>
      <w:r w:rsidRPr="0078221C">
        <w:rPr>
          <w:rFonts w:eastAsia="Times New Roman"/>
          <w:lang w:eastAsia="fr-CH"/>
        </w:rPr>
        <w:t xml:space="preserve">du </w:t>
      </w:r>
      <w:r w:rsidR="00554650" w:rsidRPr="00554650">
        <w:rPr>
          <w:rFonts w:eastAsia="Times New Roman"/>
          <w:highlight w:val="yellow"/>
          <w:lang w:eastAsia="fr-CH"/>
        </w:rPr>
        <w:t>[date]</w:t>
      </w:r>
      <w:r w:rsidRPr="0078221C">
        <w:rPr>
          <w:rFonts w:eastAsia="Times New Roman"/>
          <w:lang w:eastAsia="fr-CH"/>
        </w:rPr>
        <w:t xml:space="preserve"> adressé à </w:t>
      </w:r>
      <w:r w:rsidR="000B3B5F" w:rsidRPr="000B3B5F">
        <w:rPr>
          <w:rFonts w:eastAsia="Times New Roman"/>
          <w:highlight w:val="yellow"/>
          <w:lang w:eastAsia="fr-CH"/>
        </w:rPr>
        <w:t>[…]</w:t>
      </w:r>
      <w:r w:rsidRPr="0078221C">
        <w:rPr>
          <w:rFonts w:eastAsia="Times New Roman"/>
          <w:lang w:eastAsia="fr-CH"/>
        </w:rPr>
        <w:t xml:space="preserve">, propriétaire de </w:t>
      </w:r>
      <w:r w:rsidR="000B3B5F">
        <w:rPr>
          <w:rFonts w:eastAsia="Times New Roman"/>
          <w:lang w:eastAsia="fr-CH"/>
        </w:rPr>
        <w:t>la parcelle n°</w:t>
      </w:r>
      <w:r w:rsidR="000B3B5F" w:rsidRPr="000B3B5F">
        <w:rPr>
          <w:rFonts w:eastAsia="Times New Roman"/>
          <w:highlight w:val="yellow"/>
          <w:lang w:eastAsia="fr-CH"/>
        </w:rPr>
        <w:t>[…]</w:t>
      </w:r>
      <w:r w:rsidRPr="0078221C">
        <w:rPr>
          <w:rFonts w:eastAsia="Times New Roman"/>
          <w:lang w:eastAsia="fr-CH"/>
        </w:rPr>
        <w:t xml:space="preserve"> (ci-après : </w:t>
      </w:r>
      <w:r w:rsidR="000B3B5F">
        <w:rPr>
          <w:rFonts w:eastAsia="Times New Roman"/>
          <w:noProof/>
          <w:lang w:eastAsia="fr-CH"/>
        </w:rPr>
        <w:t>le</w:t>
      </w:r>
      <w:r w:rsidRPr="0078221C">
        <w:rPr>
          <w:rFonts w:eastAsia="Times New Roman"/>
          <w:noProof/>
          <w:lang w:eastAsia="fr-CH"/>
        </w:rPr>
        <w:t xml:space="preserve"> propriétaire</w:t>
      </w:r>
      <w:r w:rsidRPr="0078221C">
        <w:rPr>
          <w:rFonts w:eastAsia="Times New Roman"/>
          <w:lang w:eastAsia="fr-CH"/>
        </w:rPr>
        <w:t xml:space="preserve"> du bien-fonds) ;</w:t>
      </w:r>
    </w:p>
    <w:p w14:paraId="2ED2AE84" w14:textId="77777777" w:rsidR="00192A4F" w:rsidRDefault="00192A4F" w:rsidP="0078221C">
      <w:pPr>
        <w:spacing w:after="0" w:line="240" w:lineRule="auto"/>
        <w:rPr>
          <w:rFonts w:eastAsia="Times New Roman"/>
          <w:lang w:eastAsia="fr-CH"/>
        </w:rPr>
      </w:pPr>
    </w:p>
    <w:p w14:paraId="637DCBE0" w14:textId="77777777" w:rsidR="00192A4F" w:rsidRPr="0078221C" w:rsidRDefault="00192A4F" w:rsidP="0078221C">
      <w:pPr>
        <w:spacing w:after="0" w:line="240" w:lineRule="auto"/>
        <w:rPr>
          <w:rFonts w:eastAsia="Times New Roman"/>
          <w:lang w:eastAsia="fr-CH"/>
        </w:rPr>
      </w:pPr>
      <w:proofErr w:type="gramStart"/>
      <w:r>
        <w:rPr>
          <w:rFonts w:eastAsia="Times New Roman"/>
          <w:lang w:eastAsia="fr-CH"/>
        </w:rPr>
        <w:t>vu</w:t>
      </w:r>
      <w:proofErr w:type="gramEnd"/>
      <w:r>
        <w:rPr>
          <w:rFonts w:eastAsia="Times New Roman"/>
          <w:lang w:eastAsia="fr-CH"/>
        </w:rPr>
        <w:t xml:space="preserve"> le courrier de réponse du propriétaire du bien-fonds daté du </w:t>
      </w:r>
      <w:r w:rsidRPr="00192A4F">
        <w:rPr>
          <w:rFonts w:eastAsia="Times New Roman"/>
          <w:highlight w:val="yellow"/>
          <w:lang w:eastAsia="fr-CH"/>
        </w:rPr>
        <w:t>[…]</w:t>
      </w:r>
      <w:r>
        <w:rPr>
          <w:rFonts w:eastAsia="Times New Roman"/>
          <w:lang w:eastAsia="fr-CH"/>
        </w:rPr>
        <w:t> ;</w:t>
      </w:r>
    </w:p>
    <w:p w14:paraId="6C034CFA" w14:textId="77777777" w:rsidR="0078221C" w:rsidRPr="0078221C" w:rsidRDefault="0078221C" w:rsidP="0078221C">
      <w:pPr>
        <w:spacing w:after="0" w:line="240" w:lineRule="auto"/>
        <w:rPr>
          <w:rFonts w:eastAsia="Times New Roman"/>
          <w:lang w:eastAsia="fr-CH"/>
        </w:rPr>
      </w:pPr>
    </w:p>
    <w:p w14:paraId="55AD15A5" w14:textId="77777777" w:rsidR="0078221C" w:rsidRPr="0078221C" w:rsidRDefault="000B3B5F" w:rsidP="0078221C">
      <w:pPr>
        <w:spacing w:after="0" w:line="240" w:lineRule="auto"/>
        <w:rPr>
          <w:rFonts w:eastAsia="Times New Roman"/>
          <w:lang w:eastAsia="fr-CH"/>
        </w:rPr>
      </w:pPr>
      <w:proofErr w:type="gramStart"/>
      <w:r>
        <w:rPr>
          <w:rFonts w:eastAsia="Times New Roman"/>
          <w:lang w:eastAsia="fr-CH"/>
        </w:rPr>
        <w:t>vu</w:t>
      </w:r>
      <w:proofErr w:type="gramEnd"/>
      <w:r>
        <w:rPr>
          <w:rFonts w:eastAsia="Times New Roman"/>
          <w:lang w:eastAsia="fr-CH"/>
        </w:rPr>
        <w:t xml:space="preserve"> </w:t>
      </w:r>
      <w:r w:rsidR="0078221C" w:rsidRPr="0078221C">
        <w:rPr>
          <w:rFonts w:eastAsia="Times New Roman"/>
          <w:lang w:eastAsia="fr-CH"/>
        </w:rPr>
        <w:t xml:space="preserve">l’expertise du </w:t>
      </w:r>
      <w:r w:rsidRPr="000B3B5F">
        <w:rPr>
          <w:rFonts w:eastAsia="Times New Roman"/>
          <w:highlight w:val="yellow"/>
          <w:lang w:eastAsia="fr-CH"/>
        </w:rPr>
        <w:t>[date]</w:t>
      </w:r>
      <w:r w:rsidR="0078221C" w:rsidRPr="0078221C">
        <w:rPr>
          <w:rFonts w:eastAsia="Times New Roman"/>
          <w:lang w:eastAsia="fr-CH"/>
        </w:rPr>
        <w:t xml:space="preserve"> effectuée à la demande </w:t>
      </w:r>
      <w:r w:rsidR="00554650">
        <w:rPr>
          <w:rFonts w:eastAsia="Times New Roman"/>
          <w:lang w:eastAsia="fr-CH"/>
        </w:rPr>
        <w:t xml:space="preserve">de la commune </w:t>
      </w:r>
      <w:r w:rsidR="0078221C" w:rsidRPr="0078221C">
        <w:rPr>
          <w:rFonts w:eastAsia="Times New Roman"/>
          <w:lang w:eastAsia="fr-CH"/>
        </w:rPr>
        <w:t xml:space="preserve">par </w:t>
      </w:r>
      <w:r w:rsidRPr="000B3B5F">
        <w:rPr>
          <w:rFonts w:eastAsia="Times New Roman"/>
          <w:highlight w:val="yellow"/>
          <w:lang w:eastAsia="fr-CH"/>
        </w:rPr>
        <w:t>[nom du bureau mandaté pour l’expertise]</w:t>
      </w:r>
      <w:r w:rsidR="0078221C" w:rsidRPr="0078221C">
        <w:rPr>
          <w:rFonts w:eastAsia="Times New Roman"/>
          <w:lang w:eastAsia="fr-CH"/>
        </w:rPr>
        <w:t xml:space="preserve"> estimant </w:t>
      </w:r>
      <w:r w:rsidR="00594B28">
        <w:rPr>
          <w:rFonts w:eastAsia="Times New Roman"/>
          <w:lang w:eastAsia="fr-CH"/>
        </w:rPr>
        <w:t>la valeur vénale</w:t>
      </w:r>
      <w:r w:rsidR="0078221C" w:rsidRPr="0078221C">
        <w:rPr>
          <w:rFonts w:eastAsia="Times New Roman"/>
          <w:lang w:eastAsia="fr-CH"/>
        </w:rPr>
        <w:t xml:space="preserve"> du bien-fonds ;</w:t>
      </w:r>
    </w:p>
    <w:p w14:paraId="6C243A79" w14:textId="77777777" w:rsidR="0078221C" w:rsidRPr="0078221C" w:rsidRDefault="0078221C" w:rsidP="0078221C">
      <w:pPr>
        <w:spacing w:after="0" w:line="240" w:lineRule="auto"/>
        <w:rPr>
          <w:rFonts w:eastAsia="Times New Roman"/>
          <w:lang w:eastAsia="fr-CH"/>
        </w:rPr>
      </w:pPr>
    </w:p>
    <w:p w14:paraId="44E42480" w14:textId="77777777" w:rsidR="0078221C" w:rsidRDefault="000B3B5F" w:rsidP="0078221C">
      <w:pPr>
        <w:spacing w:after="0" w:line="240" w:lineRule="auto"/>
        <w:rPr>
          <w:rFonts w:eastAsia="Times New Roman"/>
          <w:lang w:eastAsia="fr-CH"/>
        </w:rPr>
      </w:pPr>
      <w:proofErr w:type="gramStart"/>
      <w:r w:rsidRPr="000B3B5F">
        <w:rPr>
          <w:rFonts w:eastAsia="Times New Roman"/>
          <w:lang w:eastAsia="fr-CH"/>
        </w:rPr>
        <w:t>considérant</w:t>
      </w:r>
      <w:proofErr w:type="gramEnd"/>
      <w:r w:rsidRPr="000B3B5F">
        <w:rPr>
          <w:rFonts w:eastAsia="Times New Roman"/>
          <w:lang w:eastAsia="fr-CH"/>
        </w:rPr>
        <w:t xml:space="preserve"> que la valeur vénale du bien-fonds est estimée à </w:t>
      </w:r>
      <w:r w:rsidR="00594B28" w:rsidRPr="00594B28">
        <w:rPr>
          <w:rFonts w:eastAsia="Times New Roman"/>
          <w:highlight w:val="yellow"/>
          <w:lang w:eastAsia="fr-CH"/>
        </w:rPr>
        <w:t>[…]</w:t>
      </w:r>
      <w:r w:rsidRPr="000B3B5F">
        <w:rPr>
          <w:rFonts w:eastAsia="Times New Roman"/>
          <w:lang w:eastAsia="fr-CH"/>
        </w:rPr>
        <w:t xml:space="preserve"> francs, soit à </w:t>
      </w:r>
      <w:r w:rsidR="00594B28" w:rsidRPr="00594B28">
        <w:rPr>
          <w:rFonts w:eastAsia="Times New Roman"/>
          <w:highlight w:val="yellow"/>
          <w:lang w:eastAsia="fr-CH"/>
        </w:rPr>
        <w:t>[…]</w:t>
      </w:r>
      <w:r w:rsidRPr="000B3B5F">
        <w:rPr>
          <w:rFonts w:eastAsia="Times New Roman"/>
          <w:lang w:eastAsia="fr-CH"/>
        </w:rPr>
        <w:t xml:space="preserve"> francs le m</w:t>
      </w:r>
      <w:r w:rsidRPr="00594B28">
        <w:rPr>
          <w:rFonts w:eastAsia="Times New Roman"/>
          <w:vertAlign w:val="superscript"/>
          <w:lang w:eastAsia="fr-CH"/>
        </w:rPr>
        <w:t>2</w:t>
      </w:r>
      <w:r w:rsidR="00594B28">
        <w:rPr>
          <w:rFonts w:eastAsia="Times New Roman"/>
          <w:lang w:eastAsia="fr-CH"/>
        </w:rPr>
        <w:t xml:space="preserve"> </w:t>
      </w:r>
      <w:r w:rsidRPr="000B3B5F">
        <w:rPr>
          <w:rFonts w:eastAsia="Times New Roman"/>
          <w:lang w:eastAsia="fr-CH"/>
        </w:rPr>
        <w:t>;</w:t>
      </w:r>
    </w:p>
    <w:p w14:paraId="7F5915BE" w14:textId="77777777" w:rsidR="000B3B5F" w:rsidRPr="0078221C" w:rsidRDefault="000B3B5F" w:rsidP="0078221C">
      <w:pPr>
        <w:spacing w:after="0" w:line="240" w:lineRule="auto"/>
        <w:rPr>
          <w:rFonts w:eastAsia="Times New Roman"/>
          <w:lang w:eastAsia="fr-CH"/>
        </w:rPr>
      </w:pPr>
    </w:p>
    <w:p w14:paraId="17A412A9" w14:textId="77777777" w:rsidR="002E4AB3" w:rsidRDefault="0078221C" w:rsidP="0078221C">
      <w:pPr>
        <w:spacing w:after="0" w:line="240" w:lineRule="auto"/>
      </w:pPr>
      <w:proofErr w:type="gramStart"/>
      <w:r w:rsidRPr="0078221C">
        <w:rPr>
          <w:rFonts w:eastAsia="Times New Roman"/>
          <w:lang w:eastAsia="fr-CH"/>
        </w:rPr>
        <w:t>considérant</w:t>
      </w:r>
      <w:proofErr w:type="gramEnd"/>
      <w:r w:rsidRPr="0078221C">
        <w:rPr>
          <w:rFonts w:eastAsia="Times New Roman"/>
          <w:lang w:eastAsia="fr-CH"/>
        </w:rPr>
        <w:t xml:space="preserve"> </w:t>
      </w:r>
      <w:r w:rsidR="000B3B5F">
        <w:rPr>
          <w:rFonts w:eastAsia="Times New Roman"/>
          <w:lang w:eastAsia="fr-CH"/>
        </w:rPr>
        <w:t xml:space="preserve">que </w:t>
      </w:r>
      <w:r w:rsidR="000B3B5F">
        <w:t>la</w:t>
      </w:r>
      <w:r w:rsidR="000B3B5F" w:rsidRPr="008234C8">
        <w:t xml:space="preserve"> parcelle</w:t>
      </w:r>
      <w:r w:rsidR="000B3B5F">
        <w:t xml:space="preserve"> n°</w:t>
      </w:r>
      <w:r w:rsidR="000B3B5F" w:rsidRPr="000B3B5F">
        <w:rPr>
          <w:highlight w:val="yellow"/>
        </w:rPr>
        <w:t>[…]</w:t>
      </w:r>
      <w:r w:rsidR="000B3B5F" w:rsidRPr="008234C8">
        <w:t xml:space="preserve"> est affectée à la zone </w:t>
      </w:r>
      <w:r w:rsidR="000B3B5F" w:rsidRPr="00F92689">
        <w:rPr>
          <w:highlight w:val="yellow"/>
        </w:rPr>
        <w:t>[…]</w:t>
      </w:r>
      <w:r w:rsidR="000B3B5F" w:rsidRPr="008234C8">
        <w:t xml:space="preserve">, secteur </w:t>
      </w:r>
      <w:r w:rsidR="000B3B5F" w:rsidRPr="00F92689">
        <w:rPr>
          <w:highlight w:val="yellow"/>
        </w:rPr>
        <w:t>[…]</w:t>
      </w:r>
      <w:r w:rsidR="000B3B5F" w:rsidRPr="008234C8">
        <w:t xml:space="preserve"> </w:t>
      </w:r>
      <w:r w:rsidR="000B3B5F" w:rsidRPr="00F92689">
        <w:t>(</w:t>
      </w:r>
      <w:r w:rsidR="000B3B5F" w:rsidRPr="00F92689">
        <w:rPr>
          <w:highlight w:val="yellow"/>
        </w:rPr>
        <w:t>[abréviation]</w:t>
      </w:r>
      <w:r w:rsidR="000B3B5F" w:rsidRPr="008234C8">
        <w:t xml:space="preserve">) depuis </w:t>
      </w:r>
      <w:r w:rsidR="000B3B5F" w:rsidRPr="00F92689">
        <w:rPr>
          <w:highlight w:val="yellow"/>
        </w:rPr>
        <w:t>[…]</w:t>
      </w:r>
      <w:r w:rsidR="000B3B5F" w:rsidRPr="008234C8">
        <w:t xml:space="preserve"> ans et </w:t>
      </w:r>
      <w:r w:rsidR="002E4AB3">
        <w:t xml:space="preserve">qu’elle est </w:t>
      </w:r>
      <w:r w:rsidR="000B3B5F" w:rsidRPr="008234C8">
        <w:t xml:space="preserve">entièrement équipée depuis </w:t>
      </w:r>
      <w:r w:rsidR="000B3B5F" w:rsidRPr="00F92689">
        <w:rPr>
          <w:highlight w:val="yellow"/>
        </w:rPr>
        <w:t>[…]</w:t>
      </w:r>
      <w:r w:rsidR="000B3B5F">
        <w:t xml:space="preserve"> ans</w:t>
      </w:r>
      <w:r w:rsidR="002E4AB3">
        <w:t> ;</w:t>
      </w:r>
    </w:p>
    <w:p w14:paraId="0C6CA1F5" w14:textId="77777777" w:rsidR="002E4AB3" w:rsidRDefault="002E4AB3" w:rsidP="0078221C">
      <w:pPr>
        <w:spacing w:after="0" w:line="240" w:lineRule="auto"/>
      </w:pPr>
    </w:p>
    <w:p w14:paraId="3E8DEF33" w14:textId="77777777" w:rsidR="0078221C" w:rsidRDefault="002E4AB3" w:rsidP="0078221C">
      <w:pPr>
        <w:spacing w:after="0" w:line="240" w:lineRule="auto"/>
        <w:rPr>
          <w:rFonts w:eastAsia="Times New Roman"/>
          <w:lang w:eastAsia="fr-CH"/>
        </w:rPr>
      </w:pPr>
      <w:proofErr w:type="gramStart"/>
      <w:r>
        <w:t>considérant</w:t>
      </w:r>
      <w:proofErr w:type="gramEnd"/>
      <w:r w:rsidR="000B3B5F">
        <w:rPr>
          <w:rFonts w:eastAsia="Times New Roman"/>
          <w:lang w:eastAsia="fr-CH"/>
        </w:rPr>
        <w:t xml:space="preserve"> </w:t>
      </w:r>
      <w:r w:rsidR="00554650">
        <w:rPr>
          <w:rFonts w:eastAsia="Times New Roman"/>
          <w:lang w:eastAsia="fr-CH"/>
        </w:rPr>
        <w:t xml:space="preserve">qu’elle </w:t>
      </w:r>
      <w:r w:rsidR="000B3B5F">
        <w:rPr>
          <w:rFonts w:eastAsia="Times New Roman"/>
          <w:lang w:eastAsia="fr-CH"/>
        </w:rPr>
        <w:t>n’est toujours pas construite </w:t>
      </w:r>
      <w:r w:rsidR="00554650">
        <w:rPr>
          <w:rFonts w:eastAsia="Times New Roman"/>
          <w:lang w:eastAsia="fr-CH"/>
        </w:rPr>
        <w:t>et ne fait l’objet d’aucun projet de construction</w:t>
      </w:r>
      <w:r>
        <w:rPr>
          <w:rFonts w:eastAsia="Times New Roman"/>
          <w:lang w:eastAsia="fr-CH"/>
        </w:rPr>
        <w:t> ;</w:t>
      </w:r>
    </w:p>
    <w:p w14:paraId="661E3E08" w14:textId="77777777" w:rsidR="000B3B5F" w:rsidRDefault="000B3B5F" w:rsidP="0078221C">
      <w:pPr>
        <w:spacing w:after="0" w:line="240" w:lineRule="auto"/>
      </w:pPr>
    </w:p>
    <w:p w14:paraId="313EB630" w14:textId="77777777" w:rsidR="000B3B5F" w:rsidRPr="00D04785" w:rsidRDefault="000B3B5F" w:rsidP="0078221C">
      <w:pPr>
        <w:spacing w:after="0" w:line="240" w:lineRule="auto"/>
      </w:pPr>
      <w:proofErr w:type="gramStart"/>
      <w:r>
        <w:rPr>
          <w:rFonts w:eastAsia="Times New Roman"/>
          <w:lang w:eastAsia="fr-CH"/>
        </w:rPr>
        <w:t>considérant</w:t>
      </w:r>
      <w:proofErr w:type="gramEnd"/>
      <w:r>
        <w:rPr>
          <w:rFonts w:eastAsia="Times New Roman"/>
          <w:lang w:eastAsia="fr-CH"/>
        </w:rPr>
        <w:t xml:space="preserve"> </w:t>
      </w:r>
      <w:r w:rsidR="00594B28">
        <w:rPr>
          <w:rFonts w:eastAsia="Times New Roman"/>
          <w:lang w:eastAsia="fr-CH"/>
        </w:rPr>
        <w:t xml:space="preserve">que </w:t>
      </w:r>
      <w:r w:rsidRPr="008234C8">
        <w:t xml:space="preserve">la commune </w:t>
      </w:r>
      <w:r w:rsidRPr="000B3B5F">
        <w:t xml:space="preserve">fait actuellement face à une pénurie de terrains à bâtir alors que </w:t>
      </w:r>
      <w:r w:rsidR="00554650">
        <w:t>de</w:t>
      </w:r>
      <w:r w:rsidRPr="000B3B5F">
        <w:t xml:space="preserve">s parcelles </w:t>
      </w:r>
      <w:r w:rsidR="002E4AB3">
        <w:t>–</w:t>
      </w:r>
      <w:r w:rsidRPr="000B3B5F">
        <w:t xml:space="preserve"> dont la </w:t>
      </w:r>
      <w:r>
        <w:t>parcelle n°</w:t>
      </w:r>
      <w:r w:rsidRPr="000B3B5F">
        <w:rPr>
          <w:highlight w:val="yellow"/>
        </w:rPr>
        <w:t>[…]</w:t>
      </w:r>
      <w:r w:rsidRPr="000B3B5F">
        <w:t xml:space="preserve"> </w:t>
      </w:r>
      <w:r w:rsidR="002E4AB3">
        <w:t>–</w:t>
      </w:r>
      <w:r w:rsidRPr="000B3B5F">
        <w:t xml:space="preserve"> sont encore non</w:t>
      </w:r>
      <w:r w:rsidR="00554650">
        <w:t xml:space="preserve"> </w:t>
      </w:r>
      <w:r w:rsidRPr="000B3B5F">
        <w:t>construites et présentent un potentiel intéressant de développement</w:t>
      </w:r>
      <w:r>
        <w:t xml:space="preserve"> dans la zone à bâtir existante ;</w:t>
      </w:r>
    </w:p>
    <w:p w14:paraId="4DE01DE3" w14:textId="77777777" w:rsidR="0078221C" w:rsidRDefault="0078221C" w:rsidP="0078221C">
      <w:pPr>
        <w:spacing w:after="0" w:line="240" w:lineRule="auto"/>
        <w:rPr>
          <w:rFonts w:eastAsia="Times New Roman"/>
          <w:lang w:eastAsia="fr-CH"/>
        </w:rPr>
      </w:pPr>
    </w:p>
    <w:p w14:paraId="29E76E20" w14:textId="77777777" w:rsidR="00594B28" w:rsidRDefault="00594B28" w:rsidP="00594B28">
      <w:pPr>
        <w:spacing w:after="0" w:line="240" w:lineRule="auto"/>
      </w:pPr>
      <w:proofErr w:type="gramStart"/>
      <w:r>
        <w:rPr>
          <w:rFonts w:eastAsia="Times New Roman"/>
          <w:lang w:eastAsia="fr-CH"/>
        </w:rPr>
        <w:t>considérant</w:t>
      </w:r>
      <w:proofErr w:type="gramEnd"/>
      <w:r>
        <w:rPr>
          <w:rFonts w:eastAsia="Times New Roman"/>
          <w:lang w:eastAsia="fr-CH"/>
        </w:rPr>
        <w:t xml:space="preserve"> que </w:t>
      </w:r>
      <w:r w:rsidRPr="008234C8">
        <w:t xml:space="preserve">la commune a identifié </w:t>
      </w:r>
      <w:r>
        <w:t xml:space="preserve">la </w:t>
      </w:r>
      <w:r w:rsidRPr="008234C8">
        <w:t xml:space="preserve">parcelle </w:t>
      </w:r>
      <w:r>
        <w:t>n°</w:t>
      </w:r>
      <w:r w:rsidRPr="000B3B5F">
        <w:rPr>
          <w:highlight w:val="yellow"/>
        </w:rPr>
        <w:t>[…]</w:t>
      </w:r>
      <w:r>
        <w:t xml:space="preserve"> </w:t>
      </w:r>
      <w:r w:rsidRPr="008234C8">
        <w:t>comme terrain non</w:t>
      </w:r>
      <w:r w:rsidR="002E4AB3">
        <w:t xml:space="preserve"> </w:t>
      </w:r>
      <w:r w:rsidRPr="008234C8">
        <w:t xml:space="preserve">construit susceptible de faire l’objet du droit d’emption légal dans son programme de valorisation des réserves (PVR) adopté le </w:t>
      </w:r>
      <w:r w:rsidRPr="00F92689">
        <w:rPr>
          <w:highlight w:val="yellow"/>
        </w:rPr>
        <w:t>[…]</w:t>
      </w:r>
      <w:r>
        <w:t xml:space="preserve"> par le Conseil communal ;</w:t>
      </w:r>
    </w:p>
    <w:p w14:paraId="2E78813E" w14:textId="77777777" w:rsidR="00F35CFA" w:rsidRDefault="00F35CFA" w:rsidP="00594B28">
      <w:pPr>
        <w:spacing w:after="0" w:line="240" w:lineRule="auto"/>
      </w:pPr>
    </w:p>
    <w:p w14:paraId="6002E32A" w14:textId="77777777" w:rsidR="00F35CFA" w:rsidRPr="000E234D" w:rsidRDefault="00F35CFA" w:rsidP="00594B28">
      <w:pPr>
        <w:spacing w:after="0" w:line="240" w:lineRule="auto"/>
        <w:rPr>
          <w:i/>
        </w:rPr>
      </w:pPr>
      <w:r w:rsidRPr="00FE4C48">
        <w:rPr>
          <w:i/>
          <w:highlight w:val="yellow"/>
        </w:rPr>
        <w:lastRenderedPageBreak/>
        <w:t>[Les deux « considérant » qui précèdent visent à démontrer que l’intérêt public de la mesure prime sur l’intérêt privé du propriétaire. Dans ce modèle de décision, une formulation générale et simplifiée est proposée. Selon les cas, cette formulation doit être adaptée et l’argumentaire étoffé. Il est pertinent, par exemple, d’expliquer</w:t>
      </w:r>
      <w:r w:rsidR="000E234D" w:rsidRPr="00FE4C48">
        <w:rPr>
          <w:i/>
          <w:highlight w:val="yellow"/>
        </w:rPr>
        <w:t>,</w:t>
      </w:r>
      <w:r w:rsidRPr="00FE4C48">
        <w:rPr>
          <w:i/>
          <w:highlight w:val="yellow"/>
        </w:rPr>
        <w:t xml:space="preserve"> par des données chiffrées</w:t>
      </w:r>
      <w:r w:rsidR="000E234D" w:rsidRPr="00FE4C48">
        <w:rPr>
          <w:i/>
          <w:highlight w:val="yellow"/>
        </w:rPr>
        <w:t>,</w:t>
      </w:r>
      <w:r w:rsidRPr="00FE4C48">
        <w:rPr>
          <w:i/>
          <w:highlight w:val="yellow"/>
        </w:rPr>
        <w:t xml:space="preserve"> dans quelle mesure la commune fait face à une pénurie de terrains à bâtir.]</w:t>
      </w:r>
    </w:p>
    <w:p w14:paraId="69D1B293" w14:textId="77777777" w:rsidR="00594B28" w:rsidRDefault="00594B28" w:rsidP="0078221C">
      <w:pPr>
        <w:spacing w:after="0" w:line="240" w:lineRule="auto"/>
        <w:rPr>
          <w:rFonts w:eastAsia="Times New Roman"/>
          <w:lang w:eastAsia="fr-CH"/>
        </w:rPr>
      </w:pPr>
    </w:p>
    <w:p w14:paraId="2CBC95F5" w14:textId="77777777" w:rsidR="00594B28" w:rsidRDefault="00594B28" w:rsidP="0078221C">
      <w:pPr>
        <w:spacing w:after="0" w:line="240" w:lineRule="auto"/>
        <w:rPr>
          <w:rFonts w:eastAsia="Times New Roman"/>
          <w:lang w:eastAsia="fr-CH"/>
        </w:rPr>
      </w:pPr>
      <w:proofErr w:type="gramStart"/>
      <w:r>
        <w:rPr>
          <w:rFonts w:eastAsia="Times New Roman"/>
          <w:lang w:eastAsia="fr-CH"/>
        </w:rPr>
        <w:t>considérant</w:t>
      </w:r>
      <w:proofErr w:type="gramEnd"/>
      <w:r>
        <w:rPr>
          <w:rFonts w:eastAsia="Times New Roman"/>
          <w:lang w:eastAsia="fr-CH"/>
        </w:rPr>
        <w:t xml:space="preserve"> que l’</w:t>
      </w:r>
      <w:r w:rsidR="00554650">
        <w:rPr>
          <w:rFonts w:eastAsia="Times New Roman"/>
          <w:lang w:eastAsia="fr-CH"/>
        </w:rPr>
        <w:t>exercice</w:t>
      </w:r>
      <w:r>
        <w:rPr>
          <w:rFonts w:eastAsia="Times New Roman"/>
          <w:lang w:eastAsia="fr-CH"/>
        </w:rPr>
        <w:t xml:space="preserve"> du droit d’emption légal présente </w:t>
      </w:r>
      <w:r w:rsidR="002E4AB3">
        <w:rPr>
          <w:rFonts w:eastAsia="Times New Roman"/>
          <w:lang w:eastAsia="fr-CH"/>
        </w:rPr>
        <w:t xml:space="preserve">en l’espèce </w:t>
      </w:r>
      <w:r>
        <w:rPr>
          <w:rFonts w:eastAsia="Times New Roman"/>
          <w:lang w:eastAsia="fr-CH"/>
        </w:rPr>
        <w:t>un intérêt public avéré qui prime sur l’intérêt privé du propriétaire du bien-fonds ;</w:t>
      </w:r>
    </w:p>
    <w:p w14:paraId="59D1A8B3" w14:textId="77777777" w:rsidR="00594B28" w:rsidRDefault="00594B28" w:rsidP="0078221C">
      <w:pPr>
        <w:spacing w:after="0" w:line="240" w:lineRule="auto"/>
        <w:rPr>
          <w:rFonts w:eastAsia="Times New Roman"/>
          <w:lang w:eastAsia="fr-CH"/>
        </w:rPr>
      </w:pPr>
    </w:p>
    <w:p w14:paraId="5B41CCEB" w14:textId="77777777" w:rsidR="00594B28" w:rsidRPr="0078221C" w:rsidRDefault="00AB1BFD" w:rsidP="0078221C">
      <w:pPr>
        <w:spacing w:after="0" w:line="240" w:lineRule="auto"/>
        <w:rPr>
          <w:rFonts w:eastAsia="Times New Roman"/>
          <w:lang w:eastAsia="fr-CH"/>
        </w:rPr>
      </w:pPr>
      <w:proofErr w:type="gramStart"/>
      <w:r>
        <w:rPr>
          <w:rFonts w:eastAsia="Times New Roman"/>
          <w:lang w:eastAsia="fr-CH"/>
        </w:rPr>
        <w:t>considérant</w:t>
      </w:r>
      <w:proofErr w:type="gramEnd"/>
      <w:r>
        <w:rPr>
          <w:rFonts w:eastAsia="Times New Roman"/>
          <w:lang w:eastAsia="fr-CH"/>
        </w:rPr>
        <w:t xml:space="preserve"> que l’exercice</w:t>
      </w:r>
      <w:r w:rsidR="00594B28">
        <w:rPr>
          <w:rFonts w:eastAsia="Times New Roman"/>
          <w:lang w:eastAsia="fr-CH"/>
        </w:rPr>
        <w:t xml:space="preserve"> du droit d’emption légal ne viole pas le principe de proportionnalité ;</w:t>
      </w:r>
    </w:p>
    <w:p w14:paraId="065F30CF" w14:textId="77777777" w:rsidR="0078221C" w:rsidRPr="0078221C" w:rsidRDefault="0078221C" w:rsidP="0078221C">
      <w:pPr>
        <w:spacing w:after="0" w:line="240" w:lineRule="auto"/>
        <w:jc w:val="left"/>
        <w:rPr>
          <w:rFonts w:eastAsia="Times New Roman"/>
          <w:lang w:eastAsia="fr-CH"/>
        </w:rPr>
      </w:pPr>
    </w:p>
    <w:p w14:paraId="0CE03C16" w14:textId="77777777" w:rsidR="0078221C" w:rsidRPr="0078221C" w:rsidRDefault="0078221C" w:rsidP="0078221C">
      <w:pPr>
        <w:spacing w:after="0" w:line="240" w:lineRule="auto"/>
        <w:rPr>
          <w:rFonts w:eastAsia="Times New Roman"/>
          <w:b/>
          <w:bCs/>
          <w:lang w:eastAsia="fr-CH"/>
        </w:rPr>
      </w:pPr>
      <w:proofErr w:type="gramStart"/>
      <w:r w:rsidRPr="0078221C">
        <w:rPr>
          <w:rFonts w:eastAsia="Times New Roman"/>
          <w:b/>
          <w:bCs/>
          <w:lang w:eastAsia="fr-CH"/>
        </w:rPr>
        <w:t>décide</w:t>
      </w:r>
      <w:proofErr w:type="gramEnd"/>
      <w:r w:rsidRPr="0078221C">
        <w:rPr>
          <w:rFonts w:eastAsia="Times New Roman"/>
          <w:b/>
          <w:bCs/>
          <w:lang w:eastAsia="fr-CH"/>
        </w:rPr>
        <w:t> :</w:t>
      </w:r>
    </w:p>
    <w:p w14:paraId="116DC507" w14:textId="77777777" w:rsidR="0078221C" w:rsidRPr="0078221C" w:rsidRDefault="0078221C" w:rsidP="0078221C">
      <w:pPr>
        <w:spacing w:after="0" w:line="240" w:lineRule="auto"/>
        <w:rPr>
          <w:rFonts w:eastAsia="Times New Roman"/>
          <w:lang w:eastAsia="fr-CH"/>
        </w:rPr>
      </w:pPr>
    </w:p>
    <w:p w14:paraId="3B2C5763" w14:textId="77777777" w:rsidR="0078221C" w:rsidRDefault="0078221C" w:rsidP="004538F5">
      <w:pPr>
        <w:spacing w:after="0" w:line="240" w:lineRule="auto"/>
        <w:rPr>
          <w:rFonts w:eastAsia="Times New Roman"/>
          <w:lang w:eastAsia="fr-CH"/>
        </w:rPr>
      </w:pPr>
      <w:r w:rsidRPr="0078221C">
        <w:rPr>
          <w:rFonts w:eastAsia="Times New Roman"/>
          <w:b/>
          <w:lang w:eastAsia="fr-CH"/>
        </w:rPr>
        <w:t>Art. 1</w:t>
      </w:r>
      <w:r w:rsidR="004538F5">
        <w:rPr>
          <w:rFonts w:eastAsia="Times New Roman"/>
          <w:lang w:eastAsia="fr-CH"/>
        </w:rPr>
        <w:t xml:space="preserve"> </w:t>
      </w:r>
      <w:r w:rsidR="00DF2F1D">
        <w:rPr>
          <w:rFonts w:eastAsia="Times New Roman"/>
          <w:lang w:eastAsia="fr-CH"/>
        </w:rPr>
        <w:t xml:space="preserve">La commune de </w:t>
      </w:r>
      <w:r w:rsidR="00DF2F1D" w:rsidRPr="00DF2F1D">
        <w:rPr>
          <w:rFonts w:eastAsia="Times New Roman"/>
          <w:highlight w:val="yellow"/>
          <w:lang w:eastAsia="fr-CH"/>
        </w:rPr>
        <w:t>[…]</w:t>
      </w:r>
      <w:r w:rsidR="00DF2F1D">
        <w:rPr>
          <w:rFonts w:eastAsia="Times New Roman"/>
          <w:lang w:eastAsia="fr-CH"/>
        </w:rPr>
        <w:t xml:space="preserve"> </w:t>
      </w:r>
      <w:r w:rsidR="00940E0B">
        <w:rPr>
          <w:rFonts w:eastAsia="Times New Roman"/>
          <w:lang w:eastAsia="fr-CH"/>
        </w:rPr>
        <w:t>exerce</w:t>
      </w:r>
      <w:r w:rsidR="002E4AB3">
        <w:rPr>
          <w:rFonts w:eastAsia="Times New Roman"/>
          <w:lang w:eastAsia="fr-CH"/>
        </w:rPr>
        <w:t xml:space="preserve"> </w:t>
      </w:r>
      <w:r w:rsidR="00DF2F1D">
        <w:rPr>
          <w:rFonts w:eastAsia="Times New Roman"/>
          <w:lang w:eastAsia="fr-CH"/>
        </w:rPr>
        <w:t>son droit d’emp</w:t>
      </w:r>
      <w:r w:rsidR="003B64B1">
        <w:rPr>
          <w:rFonts w:eastAsia="Times New Roman"/>
          <w:lang w:eastAsia="fr-CH"/>
        </w:rPr>
        <w:t>tion légal, au sens de l’art. 45b al.</w:t>
      </w:r>
      <w:r w:rsidR="00DF2F1D">
        <w:rPr>
          <w:rFonts w:eastAsia="Times New Roman"/>
          <w:lang w:eastAsia="fr-CH"/>
        </w:rPr>
        <w:t xml:space="preserve"> 2 LCAT, sur la parcelle n</w:t>
      </w:r>
      <w:proofErr w:type="gramStart"/>
      <w:r w:rsidR="00DF2F1D">
        <w:rPr>
          <w:rFonts w:eastAsia="Times New Roman"/>
          <w:lang w:eastAsia="fr-CH"/>
        </w:rPr>
        <w:t>°</w:t>
      </w:r>
      <w:r w:rsidR="00DF2F1D" w:rsidRPr="00DF2F1D">
        <w:rPr>
          <w:rFonts w:eastAsia="Times New Roman"/>
          <w:highlight w:val="yellow"/>
          <w:lang w:eastAsia="fr-CH"/>
        </w:rPr>
        <w:t>[</w:t>
      </w:r>
      <w:proofErr w:type="gramEnd"/>
      <w:r w:rsidR="00DF2F1D" w:rsidRPr="00DF2F1D">
        <w:rPr>
          <w:rFonts w:eastAsia="Times New Roman"/>
          <w:highlight w:val="yellow"/>
          <w:lang w:eastAsia="fr-CH"/>
        </w:rPr>
        <w:t>…]</w:t>
      </w:r>
      <w:r w:rsidR="00DF2F1D">
        <w:rPr>
          <w:rFonts w:eastAsia="Times New Roman"/>
          <w:lang w:eastAsia="fr-CH"/>
        </w:rPr>
        <w:t xml:space="preserve"> appartenant à </w:t>
      </w:r>
      <w:r w:rsidR="00DF2F1D" w:rsidRPr="00DF2F1D">
        <w:rPr>
          <w:rFonts w:eastAsia="Times New Roman"/>
          <w:highlight w:val="yellow"/>
          <w:lang w:eastAsia="fr-CH"/>
        </w:rPr>
        <w:t>[…]</w:t>
      </w:r>
      <w:r w:rsidR="006D6B5B">
        <w:rPr>
          <w:rFonts w:eastAsia="Times New Roman"/>
          <w:lang w:eastAsia="fr-CH"/>
        </w:rPr>
        <w:t>.</w:t>
      </w:r>
    </w:p>
    <w:p w14:paraId="2F21537F" w14:textId="77777777" w:rsidR="00940E0B" w:rsidRDefault="00940E0B" w:rsidP="004538F5">
      <w:pPr>
        <w:spacing w:after="0" w:line="240" w:lineRule="auto"/>
        <w:rPr>
          <w:rFonts w:eastAsia="Times New Roman"/>
          <w:lang w:eastAsia="fr-CH"/>
        </w:rPr>
      </w:pPr>
    </w:p>
    <w:p w14:paraId="2C8D0382" w14:textId="77777777" w:rsidR="00940E0B" w:rsidRDefault="00940E0B" w:rsidP="004538F5">
      <w:pPr>
        <w:spacing w:after="0" w:line="240" w:lineRule="auto"/>
        <w:rPr>
          <w:rFonts w:eastAsia="Times New Roman"/>
          <w:noProof/>
          <w:lang w:eastAsia="fr-CH"/>
        </w:rPr>
      </w:pPr>
      <w:r>
        <w:rPr>
          <w:rFonts w:eastAsia="Times New Roman"/>
          <w:b/>
          <w:lang w:eastAsia="fr-CH"/>
        </w:rPr>
        <w:t>Art. 2</w:t>
      </w:r>
      <w:r>
        <w:rPr>
          <w:rFonts w:eastAsia="Times New Roman"/>
          <w:lang w:eastAsia="fr-CH"/>
        </w:rPr>
        <w:t xml:space="preserve"> Le prix d’achat est fixé à </w:t>
      </w:r>
      <w:r w:rsidRPr="00594B28">
        <w:rPr>
          <w:rFonts w:eastAsia="Times New Roman"/>
          <w:highlight w:val="yellow"/>
          <w:lang w:eastAsia="fr-CH"/>
        </w:rPr>
        <w:t>[…]</w:t>
      </w:r>
      <w:r w:rsidRPr="000B3B5F">
        <w:rPr>
          <w:rFonts w:eastAsia="Times New Roman"/>
          <w:lang w:eastAsia="fr-CH"/>
        </w:rPr>
        <w:t xml:space="preserve"> francs</w:t>
      </w:r>
      <w:r>
        <w:rPr>
          <w:rFonts w:eastAsia="Times New Roman"/>
          <w:lang w:eastAsia="fr-CH"/>
        </w:rPr>
        <w:t xml:space="preserve"> par </w:t>
      </w:r>
      <w:r w:rsidRPr="000B3B5F">
        <w:rPr>
          <w:rFonts w:eastAsia="Times New Roman"/>
          <w:lang w:eastAsia="fr-CH"/>
        </w:rPr>
        <w:t>m</w:t>
      </w:r>
      <w:r w:rsidRPr="00594B28">
        <w:rPr>
          <w:rFonts w:eastAsia="Times New Roman"/>
          <w:vertAlign w:val="superscript"/>
          <w:lang w:eastAsia="fr-CH"/>
        </w:rPr>
        <w:t>2</w:t>
      </w:r>
      <w:r>
        <w:rPr>
          <w:rFonts w:eastAsia="Times New Roman"/>
          <w:lang w:eastAsia="fr-CH"/>
        </w:rPr>
        <w:t xml:space="preserve"> pour la parcelle n</w:t>
      </w:r>
      <w:proofErr w:type="gramStart"/>
      <w:r>
        <w:rPr>
          <w:rFonts w:eastAsia="Times New Roman"/>
          <w:lang w:eastAsia="fr-CH"/>
        </w:rPr>
        <w:t>°</w:t>
      </w:r>
      <w:r w:rsidRPr="006D6B5B">
        <w:rPr>
          <w:rFonts w:eastAsia="Times New Roman"/>
          <w:highlight w:val="yellow"/>
          <w:lang w:eastAsia="fr-CH"/>
        </w:rPr>
        <w:t>[</w:t>
      </w:r>
      <w:proofErr w:type="gramEnd"/>
      <w:r w:rsidRPr="006D6B5B">
        <w:rPr>
          <w:rFonts w:eastAsia="Times New Roman"/>
          <w:highlight w:val="yellow"/>
          <w:lang w:eastAsia="fr-CH"/>
        </w:rPr>
        <w:t>…]</w:t>
      </w:r>
      <w:r>
        <w:rPr>
          <w:rFonts w:eastAsia="Times New Roman"/>
          <w:lang w:eastAsia="fr-CH"/>
        </w:rPr>
        <w:t xml:space="preserve">, soit un prix total de </w:t>
      </w:r>
      <w:r w:rsidRPr="00594B28">
        <w:rPr>
          <w:rFonts w:eastAsia="Times New Roman"/>
          <w:highlight w:val="yellow"/>
          <w:lang w:eastAsia="fr-CH"/>
        </w:rPr>
        <w:t>[…]</w:t>
      </w:r>
      <w:r>
        <w:rPr>
          <w:rFonts w:eastAsia="Times New Roman"/>
          <w:lang w:eastAsia="fr-CH"/>
        </w:rPr>
        <w:t> </w:t>
      </w:r>
      <w:r w:rsidRPr="000B3B5F">
        <w:rPr>
          <w:rFonts w:eastAsia="Times New Roman"/>
          <w:lang w:eastAsia="fr-CH"/>
        </w:rPr>
        <w:t>francs</w:t>
      </w:r>
      <w:r>
        <w:rPr>
          <w:rFonts w:eastAsia="Times New Roman"/>
          <w:noProof/>
          <w:lang w:eastAsia="fr-CH"/>
        </w:rPr>
        <w:t>.</w:t>
      </w:r>
    </w:p>
    <w:p w14:paraId="38CC59EF" w14:textId="77777777" w:rsidR="00940E0B" w:rsidRDefault="00940E0B" w:rsidP="004538F5">
      <w:pPr>
        <w:spacing w:after="0" w:line="240" w:lineRule="auto"/>
        <w:rPr>
          <w:rFonts w:eastAsia="Times New Roman"/>
          <w:noProof/>
          <w:lang w:eastAsia="fr-CH"/>
        </w:rPr>
      </w:pPr>
    </w:p>
    <w:p w14:paraId="12A2F926" w14:textId="77777777" w:rsidR="00940E0B" w:rsidRDefault="00940E0B" w:rsidP="004538F5">
      <w:pPr>
        <w:spacing w:after="0" w:line="240" w:lineRule="auto"/>
        <w:rPr>
          <w:rFonts w:eastAsia="Times New Roman"/>
          <w:lang w:eastAsia="fr-CH"/>
        </w:rPr>
      </w:pPr>
      <w:r>
        <w:rPr>
          <w:rFonts w:eastAsia="Times New Roman"/>
          <w:b/>
          <w:noProof/>
          <w:lang w:eastAsia="fr-CH"/>
        </w:rPr>
        <w:t>Art. 3</w:t>
      </w:r>
      <w:r>
        <w:rPr>
          <w:rFonts w:eastAsia="Times New Roman"/>
          <w:noProof/>
          <w:lang w:eastAsia="fr-CH"/>
        </w:rPr>
        <w:t xml:space="preserve"> </w:t>
      </w:r>
      <w:r w:rsidRPr="002F05E6">
        <w:rPr>
          <w:rFonts w:eastAsia="Times New Roman"/>
          <w:lang w:eastAsia="fr-CH"/>
        </w:rPr>
        <w:t>Le transfert de propriété s</w:t>
      </w:r>
      <w:r w:rsidR="00024C85">
        <w:rPr>
          <w:rFonts w:eastAsia="Times New Roman"/>
          <w:lang w:eastAsia="fr-CH"/>
        </w:rPr>
        <w:t>era requis au registre foncier</w:t>
      </w:r>
      <w:r w:rsidRPr="002F05E6">
        <w:rPr>
          <w:rFonts w:eastAsia="Times New Roman"/>
          <w:lang w:eastAsia="fr-CH"/>
        </w:rPr>
        <w:t xml:space="preserve"> dès l’entrée en force de la </w:t>
      </w:r>
      <w:r w:rsidR="00B75E0F">
        <w:rPr>
          <w:rFonts w:eastAsia="Times New Roman"/>
          <w:lang w:eastAsia="fr-CH"/>
        </w:rPr>
        <w:t xml:space="preserve">présente </w:t>
      </w:r>
      <w:r w:rsidRPr="002F05E6">
        <w:rPr>
          <w:rFonts w:eastAsia="Times New Roman"/>
          <w:lang w:eastAsia="fr-CH"/>
        </w:rPr>
        <w:t>décision.</w:t>
      </w:r>
    </w:p>
    <w:p w14:paraId="113CD9AF" w14:textId="77777777" w:rsidR="00940E0B" w:rsidRDefault="00940E0B" w:rsidP="004538F5">
      <w:pPr>
        <w:spacing w:after="0" w:line="240" w:lineRule="auto"/>
        <w:rPr>
          <w:rFonts w:eastAsia="Times New Roman"/>
          <w:lang w:eastAsia="fr-CH"/>
        </w:rPr>
      </w:pPr>
    </w:p>
    <w:p w14:paraId="6677CEDC" w14:textId="77777777" w:rsidR="00940E0B" w:rsidRDefault="00940E0B" w:rsidP="004538F5">
      <w:pPr>
        <w:spacing w:after="0" w:line="240" w:lineRule="auto"/>
        <w:rPr>
          <w:rFonts w:eastAsia="Times New Roman"/>
          <w:lang w:eastAsia="fr-CH"/>
        </w:rPr>
      </w:pPr>
      <w:r>
        <w:rPr>
          <w:rFonts w:eastAsia="Times New Roman"/>
          <w:b/>
          <w:lang w:eastAsia="fr-CH"/>
        </w:rPr>
        <w:t>Art. 4</w:t>
      </w:r>
      <w:r>
        <w:rPr>
          <w:rFonts w:eastAsia="Times New Roman"/>
          <w:lang w:eastAsia="fr-CH"/>
        </w:rPr>
        <w:t xml:space="preserve"> Le prix de vente </w:t>
      </w:r>
      <w:r w:rsidRPr="002F05E6">
        <w:rPr>
          <w:rFonts w:eastAsia="Times New Roman"/>
          <w:lang w:eastAsia="fr-CH"/>
        </w:rPr>
        <w:t xml:space="preserve">sera versé par la commune au propriétaire dans un délai de </w:t>
      </w:r>
      <w:r w:rsidR="00951101">
        <w:rPr>
          <w:rFonts w:eastAsia="Times New Roman"/>
          <w:lang w:eastAsia="fr-CH"/>
        </w:rPr>
        <w:t xml:space="preserve">dix </w:t>
      </w:r>
      <w:r w:rsidRPr="002F05E6">
        <w:rPr>
          <w:rFonts w:eastAsia="Times New Roman"/>
          <w:lang w:eastAsia="fr-CH"/>
        </w:rPr>
        <w:t xml:space="preserve">jours à compter </w:t>
      </w:r>
      <w:r w:rsidR="00CC2ECB">
        <w:rPr>
          <w:rFonts w:eastAsia="Times New Roman"/>
          <w:lang w:eastAsia="fr-CH"/>
        </w:rPr>
        <w:t xml:space="preserve">de la </w:t>
      </w:r>
      <w:r w:rsidR="002F05E6">
        <w:rPr>
          <w:rFonts w:eastAsia="Times New Roman"/>
          <w:lang w:eastAsia="fr-CH"/>
        </w:rPr>
        <w:t xml:space="preserve">requête de </w:t>
      </w:r>
      <w:r w:rsidR="00CC2ECB">
        <w:rPr>
          <w:rFonts w:eastAsia="Times New Roman"/>
          <w:lang w:eastAsia="fr-CH"/>
        </w:rPr>
        <w:t>réquisition d’inscription</w:t>
      </w:r>
      <w:r w:rsidRPr="002F05E6">
        <w:rPr>
          <w:rFonts w:eastAsia="Times New Roman"/>
          <w:lang w:eastAsia="fr-CH"/>
        </w:rPr>
        <w:t xml:space="preserve"> au registre foncier.</w:t>
      </w:r>
    </w:p>
    <w:p w14:paraId="1D47C848" w14:textId="77777777" w:rsidR="00CC2ECB" w:rsidRDefault="00CC2ECB" w:rsidP="004538F5">
      <w:pPr>
        <w:spacing w:after="0" w:line="240" w:lineRule="auto"/>
        <w:rPr>
          <w:rFonts w:eastAsia="Times New Roman"/>
          <w:lang w:eastAsia="fr-CH"/>
        </w:rPr>
      </w:pPr>
    </w:p>
    <w:p w14:paraId="65DB3D62" w14:textId="77777777" w:rsidR="00192A4F" w:rsidRDefault="00CC2ECB" w:rsidP="004538F5">
      <w:pPr>
        <w:spacing w:after="0" w:line="240" w:lineRule="auto"/>
        <w:rPr>
          <w:rFonts w:eastAsia="Times New Roman"/>
          <w:lang w:eastAsia="fr-CH"/>
        </w:rPr>
      </w:pPr>
      <w:r>
        <w:rPr>
          <w:rFonts w:eastAsia="Times New Roman"/>
          <w:b/>
          <w:lang w:eastAsia="fr-CH"/>
        </w:rPr>
        <w:t>Art. 5</w:t>
      </w:r>
      <w:r>
        <w:rPr>
          <w:rFonts w:eastAsia="Times New Roman"/>
          <w:lang w:eastAsia="fr-CH"/>
        </w:rPr>
        <w:t xml:space="preserve"> </w:t>
      </w:r>
      <w:r>
        <w:t xml:space="preserve">Le prix payé l’est </w:t>
      </w:r>
      <w:r w:rsidRPr="00D1540C">
        <w:t>sous déduction</w:t>
      </w:r>
      <w:r>
        <w:t xml:space="preserve"> du montant de la contribution due par le propriét</w:t>
      </w:r>
      <w:r w:rsidR="003B64B1">
        <w:t>aire en application des art.</w:t>
      </w:r>
      <w:r>
        <w:t xml:space="preserve"> 111b et suivants LCAT ainsi que</w:t>
      </w:r>
      <w:r w:rsidRPr="00D1540C">
        <w:t xml:space="preserve"> du montant</w:t>
      </w:r>
      <w:r>
        <w:t xml:space="preserve"> probable</w:t>
      </w:r>
      <w:r w:rsidRPr="00D1540C">
        <w:t xml:space="preserve"> de l’impôt sur les gains immobiliers</w:t>
      </w:r>
      <w:r>
        <w:t>,</w:t>
      </w:r>
      <w:r w:rsidRPr="00D1540C">
        <w:t xml:space="preserve"> </w:t>
      </w:r>
      <w:r>
        <w:t>sur la base d’une estimation demandée à</w:t>
      </w:r>
      <w:r w:rsidRPr="00D1540C">
        <w:t xml:space="preserve"> l’administration fiscale</w:t>
      </w:r>
      <w:r w:rsidR="00934A6E">
        <w:t>,</w:t>
      </w:r>
      <w:r>
        <w:t xml:space="preserve"> et après remboursement d’éventuels créanciers gagistes.</w:t>
      </w:r>
      <w:r w:rsidR="004D1CEB">
        <w:t xml:space="preserve"> Une fois l’impôt sur les gains immobiliers définitivement fixé et acquitté, le solde du montant retenu à ce titre </w:t>
      </w:r>
      <w:r w:rsidR="004C1942">
        <w:t>est</w:t>
      </w:r>
      <w:r w:rsidR="004D1CEB">
        <w:t xml:space="preserve"> versé dans les dix jours au propriétaire.</w:t>
      </w:r>
    </w:p>
    <w:p w14:paraId="26CEC087" w14:textId="77777777" w:rsidR="0078221C" w:rsidRPr="0078221C" w:rsidRDefault="0078221C" w:rsidP="0078221C">
      <w:pPr>
        <w:spacing w:after="0" w:line="240" w:lineRule="auto"/>
        <w:rPr>
          <w:rFonts w:eastAsia="Times New Roman"/>
          <w:lang w:eastAsia="fr-CH"/>
        </w:rPr>
      </w:pPr>
    </w:p>
    <w:p w14:paraId="64BCD268" w14:textId="77777777" w:rsidR="0078221C" w:rsidRPr="0078221C" w:rsidRDefault="00AB1BFD" w:rsidP="0078221C">
      <w:pPr>
        <w:spacing w:after="0" w:line="240" w:lineRule="auto"/>
        <w:rPr>
          <w:rFonts w:eastAsia="Times New Roman"/>
          <w:lang w:eastAsia="fr-CH"/>
        </w:rPr>
      </w:pPr>
      <w:r>
        <w:rPr>
          <w:rFonts w:eastAsia="Times New Roman"/>
          <w:b/>
          <w:lang w:eastAsia="fr-CH"/>
        </w:rPr>
        <w:t xml:space="preserve">Art. </w:t>
      </w:r>
      <w:r w:rsidR="00281835">
        <w:rPr>
          <w:rFonts w:eastAsia="Times New Roman"/>
          <w:b/>
          <w:lang w:eastAsia="fr-CH"/>
        </w:rPr>
        <w:t>6</w:t>
      </w:r>
      <w:r w:rsidR="00940E0B" w:rsidRPr="0078221C">
        <w:rPr>
          <w:rFonts w:eastAsia="Times New Roman"/>
          <w:b/>
          <w:lang w:eastAsia="fr-CH"/>
        </w:rPr>
        <w:t xml:space="preserve"> </w:t>
      </w:r>
      <w:r w:rsidR="0078221C" w:rsidRPr="0078221C">
        <w:rPr>
          <w:rFonts w:eastAsia="Times New Roman"/>
          <w:iCs/>
          <w:lang w:eastAsia="fr-CH"/>
        </w:rPr>
        <w:t xml:space="preserve">La présente décision peut faire l'objet d'une opposition par écrit devant </w:t>
      </w:r>
      <w:r w:rsidR="00110492">
        <w:rPr>
          <w:rFonts w:eastAsia="Times New Roman"/>
          <w:lang w:eastAsia="fr-CH"/>
        </w:rPr>
        <w:t xml:space="preserve">le Conseil communal de </w:t>
      </w:r>
      <w:r w:rsidR="00110492" w:rsidRPr="00110492">
        <w:rPr>
          <w:rFonts w:eastAsia="Times New Roman"/>
          <w:highlight w:val="yellow"/>
          <w:lang w:eastAsia="fr-CH"/>
        </w:rPr>
        <w:t>[…]</w:t>
      </w:r>
      <w:r w:rsidR="0078221C" w:rsidRPr="0078221C">
        <w:rPr>
          <w:rFonts w:eastAsia="Times New Roman"/>
          <w:lang w:eastAsia="fr-CH"/>
        </w:rPr>
        <w:t xml:space="preserve"> dans</w:t>
      </w:r>
      <w:r w:rsidR="0078221C" w:rsidRPr="0078221C">
        <w:rPr>
          <w:rFonts w:eastAsia="Times New Roman"/>
          <w:iCs/>
          <w:lang w:eastAsia="fr-CH"/>
        </w:rPr>
        <w:t xml:space="preserve"> les trente jours à compter de sa notification (art. 98 </w:t>
      </w:r>
      <w:proofErr w:type="spellStart"/>
      <w:r w:rsidR="0078221C" w:rsidRPr="0078221C">
        <w:rPr>
          <w:rFonts w:eastAsia="Times New Roman"/>
          <w:iCs/>
          <w:lang w:eastAsia="fr-CH"/>
        </w:rPr>
        <w:t>Cpa</w:t>
      </w:r>
      <w:proofErr w:type="spellEnd"/>
      <w:r w:rsidR="0078221C" w:rsidRPr="0078221C">
        <w:rPr>
          <w:rFonts w:eastAsia="Times New Roman"/>
          <w:iCs/>
          <w:vertAlign w:val="superscript"/>
          <w:lang w:eastAsia="fr-CH"/>
        </w:rPr>
        <w:footnoteReference w:id="1"/>
      </w:r>
      <w:r w:rsidR="0078221C" w:rsidRPr="0078221C">
        <w:rPr>
          <w:rFonts w:eastAsia="Times New Roman"/>
          <w:iCs/>
          <w:lang w:eastAsia="fr-CH"/>
        </w:rPr>
        <w:t xml:space="preserve">). </w:t>
      </w:r>
      <w:r w:rsidR="0078221C" w:rsidRPr="0078221C">
        <w:rPr>
          <w:rFonts w:eastAsia="Times New Roman"/>
          <w:lang w:eastAsia="fr-CH"/>
        </w:rPr>
        <w:t xml:space="preserve">Les règles relatives aux féries (art. 44a </w:t>
      </w:r>
      <w:proofErr w:type="spellStart"/>
      <w:r w:rsidR="0078221C" w:rsidRPr="0078221C">
        <w:rPr>
          <w:rFonts w:eastAsia="Times New Roman"/>
          <w:lang w:eastAsia="fr-CH"/>
        </w:rPr>
        <w:t>Cpa</w:t>
      </w:r>
      <w:proofErr w:type="spellEnd"/>
      <w:r w:rsidR="0078221C" w:rsidRPr="0078221C">
        <w:rPr>
          <w:rFonts w:eastAsia="Times New Roman"/>
          <w:lang w:eastAsia="fr-CH"/>
        </w:rPr>
        <w:t>) sont réservées.</w:t>
      </w:r>
      <w:r w:rsidR="0078221C" w:rsidRPr="0078221C">
        <w:rPr>
          <w:rFonts w:eastAsia="Times New Roman"/>
          <w:iCs/>
          <w:lang w:eastAsia="fr-CH"/>
        </w:rPr>
        <w:t xml:space="preserve"> L’opposition doit être motivée et comporter les éventuelles offres de preuve. Elle doit être datée et signée par l’opposant ou son mandataire</w:t>
      </w:r>
      <w:r w:rsidR="00E33916">
        <w:rPr>
          <w:rFonts w:eastAsia="Times New Roman"/>
          <w:iCs/>
          <w:lang w:eastAsia="fr-CH"/>
        </w:rPr>
        <w:t xml:space="preserve"> (art. 98 </w:t>
      </w:r>
      <w:proofErr w:type="spellStart"/>
      <w:r w:rsidR="00E33916">
        <w:rPr>
          <w:rFonts w:eastAsia="Times New Roman"/>
          <w:iCs/>
          <w:lang w:eastAsia="fr-CH"/>
        </w:rPr>
        <w:t>Cpa</w:t>
      </w:r>
      <w:proofErr w:type="spellEnd"/>
      <w:r w:rsidR="00E33916">
        <w:rPr>
          <w:rFonts w:eastAsia="Times New Roman"/>
          <w:iCs/>
          <w:lang w:eastAsia="fr-CH"/>
        </w:rPr>
        <w:t>)</w:t>
      </w:r>
      <w:r w:rsidR="0078221C" w:rsidRPr="0078221C">
        <w:rPr>
          <w:rFonts w:eastAsia="Times New Roman"/>
          <w:iCs/>
          <w:lang w:eastAsia="fr-CH"/>
        </w:rPr>
        <w:t xml:space="preserve">. La procédure d’opposition est la condition préalable à tout recours ultérieur (art. 96 </w:t>
      </w:r>
      <w:proofErr w:type="spellStart"/>
      <w:r w:rsidR="0078221C" w:rsidRPr="0078221C">
        <w:rPr>
          <w:rFonts w:eastAsia="Times New Roman"/>
          <w:iCs/>
          <w:lang w:eastAsia="fr-CH"/>
        </w:rPr>
        <w:t>Cpa</w:t>
      </w:r>
      <w:proofErr w:type="spellEnd"/>
      <w:r w:rsidR="0078221C" w:rsidRPr="0078221C">
        <w:rPr>
          <w:rFonts w:eastAsia="Times New Roman"/>
          <w:iCs/>
          <w:lang w:eastAsia="fr-CH"/>
        </w:rPr>
        <w:t>). Le non-respect de ces dispositions peut entraîner notamment l'irrecevabilité de l’opposition.</w:t>
      </w:r>
    </w:p>
    <w:p w14:paraId="3AE0D80B" w14:textId="77777777" w:rsidR="0078221C" w:rsidRPr="0078221C" w:rsidRDefault="0078221C" w:rsidP="0078221C">
      <w:pPr>
        <w:spacing w:after="0" w:line="240" w:lineRule="auto"/>
        <w:rPr>
          <w:rFonts w:eastAsia="Times New Roman"/>
          <w:lang w:eastAsia="fr-CH"/>
        </w:rPr>
      </w:pPr>
    </w:p>
    <w:p w14:paraId="759D9D52" w14:textId="3B59C417" w:rsidR="0078221C" w:rsidRPr="00612EC9" w:rsidRDefault="0078221C" w:rsidP="0078221C">
      <w:pPr>
        <w:spacing w:after="0" w:line="240" w:lineRule="auto"/>
        <w:rPr>
          <w:rFonts w:eastAsia="Times New Roman"/>
          <w:lang w:eastAsia="fr-CH"/>
        </w:rPr>
      </w:pPr>
      <w:r w:rsidRPr="0078221C">
        <w:rPr>
          <w:rFonts w:eastAsia="Times New Roman"/>
          <w:b/>
          <w:lang w:eastAsia="fr-CH"/>
        </w:rPr>
        <w:t xml:space="preserve">Art. </w:t>
      </w:r>
      <w:r w:rsidR="00281835">
        <w:rPr>
          <w:rFonts w:eastAsia="Times New Roman"/>
          <w:b/>
          <w:lang w:eastAsia="fr-CH"/>
        </w:rPr>
        <w:t>7</w:t>
      </w:r>
      <w:r w:rsidR="00940E0B" w:rsidRPr="0078221C">
        <w:rPr>
          <w:rFonts w:eastAsia="Times New Roman"/>
          <w:lang w:eastAsia="fr-CH"/>
        </w:rPr>
        <w:t xml:space="preserve"> </w:t>
      </w:r>
      <w:r w:rsidRPr="0078221C">
        <w:rPr>
          <w:rFonts w:eastAsia="Times New Roman"/>
          <w:lang w:eastAsia="fr-CH"/>
        </w:rPr>
        <w:t>La présente décision entre en force dès qu’elle n’est plus susceptible de recours ou dès qu’un éventuel recours aura été jugé.</w:t>
      </w:r>
      <w:bookmarkStart w:id="0" w:name="_GoBack"/>
      <w:bookmarkEnd w:id="0"/>
    </w:p>
    <w:p w14:paraId="3AA94608" w14:textId="77777777" w:rsidR="003A6CCA" w:rsidRDefault="003A6CCA" w:rsidP="0078221C">
      <w:pPr>
        <w:spacing w:after="0" w:line="260" w:lineRule="atLeast"/>
        <w:rPr>
          <w:rFonts w:eastAsia="Times"/>
          <w:lang w:eastAsia="fr-CH"/>
        </w:rPr>
      </w:pPr>
    </w:p>
    <w:p w14:paraId="0AF06279" w14:textId="77777777" w:rsidR="000878BD" w:rsidRPr="0078221C" w:rsidRDefault="000878BD" w:rsidP="0078221C">
      <w:pPr>
        <w:spacing w:after="0" w:line="260" w:lineRule="atLeast"/>
        <w:rPr>
          <w:rFonts w:eastAsia="Times"/>
          <w:lang w:eastAsia="fr-CH"/>
        </w:rPr>
      </w:pPr>
    </w:p>
    <w:p w14:paraId="42FE6CF6" w14:textId="77777777" w:rsidR="00192A4F" w:rsidRPr="00A41C20" w:rsidRDefault="00192A4F" w:rsidP="00192A4F">
      <w:pPr>
        <w:pStyle w:val="Texte1113"/>
        <w:tabs>
          <w:tab w:val="left" w:pos="5103"/>
        </w:tabs>
      </w:pPr>
      <w:r w:rsidRPr="004878E8">
        <w:rPr>
          <w:highlight w:val="yellow"/>
        </w:rPr>
        <w:t>[Prénom Nom]</w:t>
      </w:r>
      <w:r>
        <w:tab/>
      </w:r>
      <w:r w:rsidRPr="004878E8">
        <w:rPr>
          <w:highlight w:val="yellow"/>
        </w:rPr>
        <w:t>[Prénom Nom]</w:t>
      </w:r>
    </w:p>
    <w:p w14:paraId="35A6EB44" w14:textId="77777777" w:rsidR="00192A4F" w:rsidRDefault="00192A4F" w:rsidP="00192A4F">
      <w:pPr>
        <w:pStyle w:val="fonction"/>
        <w:tabs>
          <w:tab w:val="left" w:pos="5103"/>
        </w:tabs>
      </w:pPr>
      <w:r w:rsidRPr="004878E8">
        <w:rPr>
          <w:highlight w:val="yellow"/>
        </w:rPr>
        <w:t>[Fonction]</w:t>
      </w:r>
      <w:r>
        <w:tab/>
      </w:r>
      <w:r w:rsidRPr="004878E8">
        <w:rPr>
          <w:highlight w:val="yellow"/>
        </w:rPr>
        <w:t>[Fonction]</w:t>
      </w:r>
    </w:p>
    <w:p w14:paraId="5F9C57A2" w14:textId="77777777" w:rsidR="003A6CCA" w:rsidRDefault="003A6CCA" w:rsidP="0078221C">
      <w:pPr>
        <w:spacing w:after="0" w:line="240" w:lineRule="auto"/>
        <w:rPr>
          <w:rFonts w:eastAsia="Times New Roman"/>
          <w:lang w:eastAsia="fr-CH"/>
        </w:rPr>
      </w:pPr>
    </w:p>
    <w:p w14:paraId="0BDACA15" w14:textId="77777777" w:rsidR="00290C93" w:rsidRPr="0078221C" w:rsidRDefault="00290C93" w:rsidP="0078221C">
      <w:pPr>
        <w:spacing w:after="0" w:line="240" w:lineRule="auto"/>
        <w:rPr>
          <w:rFonts w:eastAsia="Times New Roman"/>
          <w:lang w:eastAsia="fr-CH"/>
        </w:rPr>
      </w:pPr>
    </w:p>
    <w:p w14:paraId="63872E24" w14:textId="77777777" w:rsidR="00192A4F" w:rsidRPr="00192A4F" w:rsidRDefault="0078221C" w:rsidP="00192A4F">
      <w:pPr>
        <w:spacing w:after="0" w:line="240" w:lineRule="auto"/>
        <w:ind w:left="426" w:hanging="426"/>
        <w:rPr>
          <w:rFonts w:eastAsia="Times New Roman"/>
          <w:lang w:eastAsia="fr-CH"/>
        </w:rPr>
      </w:pPr>
      <w:r w:rsidRPr="0078221C">
        <w:rPr>
          <w:rFonts w:eastAsia="Times New Roman"/>
          <w:lang w:eastAsia="fr-CH"/>
        </w:rPr>
        <w:t xml:space="preserve">Annexe : </w:t>
      </w:r>
    </w:p>
    <w:p w14:paraId="540202DA" w14:textId="77777777" w:rsidR="0078221C" w:rsidRPr="00192A4F" w:rsidRDefault="0078221C" w:rsidP="00192A4F">
      <w:pPr>
        <w:pStyle w:val="Paragraphedeliste"/>
        <w:numPr>
          <w:ilvl w:val="0"/>
          <w:numId w:val="4"/>
        </w:numPr>
        <w:tabs>
          <w:tab w:val="left" w:pos="426"/>
        </w:tabs>
        <w:spacing w:after="0" w:line="240" w:lineRule="auto"/>
        <w:rPr>
          <w:rFonts w:eastAsia="Times New Roman"/>
          <w:lang w:eastAsia="fr-CH"/>
        </w:rPr>
      </w:pPr>
      <w:r w:rsidRPr="00192A4F">
        <w:rPr>
          <w:rFonts w:eastAsia="Times New Roman"/>
          <w:lang w:eastAsia="fr-CH"/>
        </w:rPr>
        <w:t>E</w:t>
      </w:r>
      <w:r w:rsidR="00192A4F" w:rsidRPr="0078221C">
        <w:rPr>
          <w:rFonts w:eastAsia="Times New Roman"/>
          <w:lang w:eastAsia="fr-CH"/>
        </w:rPr>
        <w:t xml:space="preserve">xpertise du </w:t>
      </w:r>
      <w:r w:rsidR="00192A4F" w:rsidRPr="00192A4F">
        <w:rPr>
          <w:rFonts w:eastAsia="Times New Roman"/>
          <w:highlight w:val="yellow"/>
          <w:lang w:eastAsia="fr-CH"/>
        </w:rPr>
        <w:t>[date]</w:t>
      </w:r>
      <w:r w:rsidR="00192A4F" w:rsidRPr="0078221C">
        <w:rPr>
          <w:rFonts w:eastAsia="Times New Roman"/>
          <w:lang w:eastAsia="fr-CH"/>
        </w:rPr>
        <w:t xml:space="preserve"> </w:t>
      </w:r>
      <w:r w:rsidR="00192A4F" w:rsidRPr="00192A4F">
        <w:rPr>
          <w:rFonts w:eastAsia="Times New Roman"/>
          <w:lang w:eastAsia="fr-CH"/>
        </w:rPr>
        <w:t>de</w:t>
      </w:r>
      <w:r w:rsidR="00192A4F" w:rsidRPr="0078221C">
        <w:rPr>
          <w:rFonts w:eastAsia="Times New Roman"/>
          <w:lang w:eastAsia="fr-CH"/>
        </w:rPr>
        <w:t xml:space="preserve"> </w:t>
      </w:r>
      <w:r w:rsidR="00192A4F" w:rsidRPr="00192A4F">
        <w:rPr>
          <w:rFonts w:eastAsia="Times New Roman"/>
          <w:highlight w:val="yellow"/>
          <w:lang w:eastAsia="fr-CH"/>
        </w:rPr>
        <w:t>[nom du bureau mandaté pour l’expertise]</w:t>
      </w:r>
    </w:p>
    <w:p w14:paraId="6C3454FC" w14:textId="77777777" w:rsidR="0078221C" w:rsidRPr="0078221C" w:rsidRDefault="0078221C" w:rsidP="0078221C">
      <w:pPr>
        <w:tabs>
          <w:tab w:val="left" w:pos="567"/>
        </w:tabs>
        <w:spacing w:after="0" w:line="240" w:lineRule="auto"/>
        <w:ind w:left="426" w:hanging="426"/>
        <w:rPr>
          <w:rFonts w:eastAsia="Times New Roman"/>
          <w:lang w:eastAsia="fr-CH"/>
        </w:rPr>
      </w:pPr>
    </w:p>
    <w:p w14:paraId="2EAD480D" w14:textId="504FC742" w:rsidR="0078221C" w:rsidRPr="0078221C" w:rsidRDefault="00AD76CD" w:rsidP="0078221C">
      <w:pPr>
        <w:tabs>
          <w:tab w:val="left" w:pos="567"/>
          <w:tab w:val="left" w:pos="2552"/>
        </w:tabs>
        <w:spacing w:after="0" w:line="260" w:lineRule="atLeast"/>
        <w:ind w:left="426" w:hanging="426"/>
        <w:rPr>
          <w:rFonts w:eastAsia="Times"/>
          <w:lang w:val="fr-FR" w:eastAsia="fr-FR"/>
        </w:rPr>
      </w:pPr>
      <w:r>
        <w:rPr>
          <w:rFonts w:eastAsia="Times"/>
          <w:lang w:val="fr-FR" w:eastAsia="fr-FR"/>
        </w:rPr>
        <w:t>Copie</w:t>
      </w:r>
      <w:r w:rsidR="0078221C" w:rsidRPr="0078221C">
        <w:rPr>
          <w:rFonts w:eastAsia="Times"/>
          <w:lang w:val="fr-FR" w:eastAsia="fr-FR"/>
        </w:rPr>
        <w:t xml:space="preserve"> à : </w:t>
      </w:r>
    </w:p>
    <w:p w14:paraId="3E554D0D" w14:textId="04E14955" w:rsidR="004878E8" w:rsidRPr="00955766" w:rsidRDefault="0078221C" w:rsidP="00955766">
      <w:pPr>
        <w:pStyle w:val="Paragraphedeliste"/>
        <w:numPr>
          <w:ilvl w:val="0"/>
          <w:numId w:val="3"/>
        </w:numPr>
        <w:tabs>
          <w:tab w:val="left" w:pos="426"/>
        </w:tabs>
        <w:spacing w:after="0" w:line="260" w:lineRule="atLeast"/>
        <w:rPr>
          <w:rFonts w:eastAsia="Times"/>
          <w:lang w:val="fr-FR" w:eastAsia="fr-FR"/>
        </w:rPr>
      </w:pPr>
      <w:r w:rsidRPr="00192A4F">
        <w:rPr>
          <w:rFonts w:eastAsia="Times New Roman"/>
          <w:lang w:eastAsia="fr-CH"/>
        </w:rPr>
        <w:t>Reg</w:t>
      </w:r>
      <w:r w:rsidR="00192A4F" w:rsidRPr="00192A4F">
        <w:rPr>
          <w:rFonts w:eastAsia="Times New Roman"/>
          <w:lang w:eastAsia="fr-CH"/>
        </w:rPr>
        <w:t>istre foncier</w:t>
      </w:r>
    </w:p>
    <w:sectPr w:rsidR="004878E8" w:rsidRPr="009557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9EDE" w14:textId="77777777" w:rsidR="00C2043D" w:rsidRDefault="00C2043D" w:rsidP="008234C8">
      <w:pPr>
        <w:spacing w:after="0" w:line="240" w:lineRule="auto"/>
      </w:pPr>
      <w:r>
        <w:separator/>
      </w:r>
    </w:p>
  </w:endnote>
  <w:endnote w:type="continuationSeparator" w:id="0">
    <w:p w14:paraId="0279CCEA" w14:textId="77777777" w:rsidR="00C2043D" w:rsidRDefault="00C2043D" w:rsidP="008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80766"/>
      <w:docPartObj>
        <w:docPartGallery w:val="Page Numbers (Bottom of Page)"/>
        <w:docPartUnique/>
      </w:docPartObj>
    </w:sdtPr>
    <w:sdtEndPr/>
    <w:sdtContent>
      <w:p w14:paraId="227E75DB" w14:textId="004B5C7C" w:rsidR="00A2736C" w:rsidRDefault="00A2736C">
        <w:pPr>
          <w:pStyle w:val="Pieddepage"/>
          <w:jc w:val="right"/>
        </w:pPr>
        <w:r>
          <w:fldChar w:fldCharType="begin"/>
        </w:r>
        <w:r>
          <w:instrText>PAGE   \* MERGEFORMAT</w:instrText>
        </w:r>
        <w:r>
          <w:fldChar w:fldCharType="separate"/>
        </w:r>
        <w:r w:rsidR="00612EC9" w:rsidRPr="00612EC9">
          <w:rPr>
            <w:noProof/>
            <w:lang w:val="fr-FR"/>
          </w:rPr>
          <w:t>2</w:t>
        </w:r>
        <w:r>
          <w:fldChar w:fldCharType="end"/>
        </w:r>
      </w:p>
    </w:sdtContent>
  </w:sdt>
  <w:p w14:paraId="687C0C07" w14:textId="77777777" w:rsidR="00A2736C" w:rsidRDefault="00A27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4422" w14:textId="77777777" w:rsidR="00C2043D" w:rsidRDefault="00C2043D" w:rsidP="008234C8">
      <w:pPr>
        <w:spacing w:after="0" w:line="240" w:lineRule="auto"/>
      </w:pPr>
      <w:r>
        <w:separator/>
      </w:r>
    </w:p>
  </w:footnote>
  <w:footnote w:type="continuationSeparator" w:id="0">
    <w:p w14:paraId="2AF28E3C" w14:textId="77777777" w:rsidR="00C2043D" w:rsidRDefault="00C2043D" w:rsidP="008234C8">
      <w:pPr>
        <w:spacing w:after="0" w:line="240" w:lineRule="auto"/>
      </w:pPr>
      <w:r>
        <w:continuationSeparator/>
      </w:r>
    </w:p>
  </w:footnote>
  <w:footnote w:id="1">
    <w:p w14:paraId="32947213" w14:textId="77777777" w:rsidR="0078221C" w:rsidRPr="006D42AC" w:rsidRDefault="0078221C" w:rsidP="0078221C">
      <w:pPr>
        <w:pStyle w:val="Notedebasdepage"/>
      </w:pPr>
      <w:r>
        <w:rPr>
          <w:rStyle w:val="Appelnotedebasdep"/>
        </w:rPr>
        <w:footnoteRef/>
      </w:r>
      <w:r>
        <w:t xml:space="preserve"> </w:t>
      </w:r>
      <w:r w:rsidRPr="000B2AB4">
        <w:rPr>
          <w:sz w:val="18"/>
          <w:szCs w:val="18"/>
        </w:rPr>
        <w:t>Code de procédure administrative</w:t>
      </w:r>
      <w:r w:rsidR="00110492" w:rsidRPr="000B2AB4">
        <w:rPr>
          <w:sz w:val="18"/>
          <w:szCs w:val="18"/>
        </w:rPr>
        <w:t> ; RSJU 175.1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AC1"/>
    <w:multiLevelType w:val="hybridMultilevel"/>
    <w:tmpl w:val="9A1A66BC"/>
    <w:lvl w:ilvl="0" w:tplc="0F7E975E">
      <w:start w:val="3"/>
      <w:numFmt w:val="bullet"/>
      <w:lvlText w:val="-"/>
      <w:lvlJc w:val="left"/>
      <w:pPr>
        <w:ind w:left="720" w:hanging="360"/>
      </w:pPr>
      <w:rPr>
        <w:rFonts w:ascii="Arial" w:eastAsia="Times"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7A6EDE"/>
    <w:multiLevelType w:val="hybridMultilevel"/>
    <w:tmpl w:val="8FBC9718"/>
    <w:lvl w:ilvl="0" w:tplc="389AFB54">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37945EB"/>
    <w:multiLevelType w:val="hybridMultilevel"/>
    <w:tmpl w:val="8A9AAB30"/>
    <w:lvl w:ilvl="0" w:tplc="DD9413C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A10D1"/>
    <w:multiLevelType w:val="hybridMultilevel"/>
    <w:tmpl w:val="329ACF5A"/>
    <w:lvl w:ilvl="0" w:tplc="DCA40F74">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75"/>
    <w:rsid w:val="00024C85"/>
    <w:rsid w:val="00047E55"/>
    <w:rsid w:val="000870A3"/>
    <w:rsid w:val="000878BD"/>
    <w:rsid w:val="000B2AB4"/>
    <w:rsid w:val="000B3B5F"/>
    <w:rsid w:val="000E234D"/>
    <w:rsid w:val="00110492"/>
    <w:rsid w:val="00127276"/>
    <w:rsid w:val="00156B47"/>
    <w:rsid w:val="00192A4F"/>
    <w:rsid w:val="001B23BF"/>
    <w:rsid w:val="00202EEB"/>
    <w:rsid w:val="00281835"/>
    <w:rsid w:val="00290C93"/>
    <w:rsid w:val="002E4AB3"/>
    <w:rsid w:val="002F05E6"/>
    <w:rsid w:val="003556C6"/>
    <w:rsid w:val="003A6CCA"/>
    <w:rsid w:val="003B64B1"/>
    <w:rsid w:val="003C3B7B"/>
    <w:rsid w:val="004538F5"/>
    <w:rsid w:val="00477A0D"/>
    <w:rsid w:val="004878E8"/>
    <w:rsid w:val="004A20D9"/>
    <w:rsid w:val="004A359A"/>
    <w:rsid w:val="004B51A8"/>
    <w:rsid w:val="004C1942"/>
    <w:rsid w:val="004D1CEB"/>
    <w:rsid w:val="00554650"/>
    <w:rsid w:val="005716E6"/>
    <w:rsid w:val="00572602"/>
    <w:rsid w:val="00594B28"/>
    <w:rsid w:val="005D505E"/>
    <w:rsid w:val="00612EC9"/>
    <w:rsid w:val="00617783"/>
    <w:rsid w:val="00642D7F"/>
    <w:rsid w:val="006D6B5B"/>
    <w:rsid w:val="006F7675"/>
    <w:rsid w:val="00720442"/>
    <w:rsid w:val="0078221C"/>
    <w:rsid w:val="00784F73"/>
    <w:rsid w:val="0080605E"/>
    <w:rsid w:val="008234C8"/>
    <w:rsid w:val="00934A6E"/>
    <w:rsid w:val="00940E0B"/>
    <w:rsid w:val="00951101"/>
    <w:rsid w:val="00955766"/>
    <w:rsid w:val="009718B8"/>
    <w:rsid w:val="009A2C21"/>
    <w:rsid w:val="00A2736C"/>
    <w:rsid w:val="00AB1BFD"/>
    <w:rsid w:val="00AD76CD"/>
    <w:rsid w:val="00B03E76"/>
    <w:rsid w:val="00B472F1"/>
    <w:rsid w:val="00B54EB8"/>
    <w:rsid w:val="00B75E0F"/>
    <w:rsid w:val="00BF7C4D"/>
    <w:rsid w:val="00C2043D"/>
    <w:rsid w:val="00CA389B"/>
    <w:rsid w:val="00CC2ECB"/>
    <w:rsid w:val="00CC47FA"/>
    <w:rsid w:val="00D04785"/>
    <w:rsid w:val="00DF2F1D"/>
    <w:rsid w:val="00E14018"/>
    <w:rsid w:val="00E33916"/>
    <w:rsid w:val="00E92A75"/>
    <w:rsid w:val="00EB2815"/>
    <w:rsid w:val="00F35CFA"/>
    <w:rsid w:val="00F92689"/>
    <w:rsid w:val="00F96871"/>
    <w:rsid w:val="00FB3148"/>
    <w:rsid w:val="00FE4C48"/>
    <w:rsid w:val="00FE66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C4BAE"/>
  <w15:chartTrackingRefBased/>
  <w15:docId w15:val="{7D8786FD-441D-4508-BAEF-19BFFDC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E8"/>
    <w:pPr>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34C8"/>
    <w:pPr>
      <w:tabs>
        <w:tab w:val="center" w:pos="4536"/>
        <w:tab w:val="right" w:pos="9072"/>
      </w:tabs>
      <w:spacing w:after="0" w:line="240" w:lineRule="auto"/>
    </w:pPr>
  </w:style>
  <w:style w:type="character" w:customStyle="1" w:styleId="En-tteCar">
    <w:name w:val="En-tête Car"/>
    <w:basedOn w:val="Policepardfaut"/>
    <w:link w:val="En-tte"/>
    <w:uiPriority w:val="99"/>
    <w:rsid w:val="008234C8"/>
    <w:rPr>
      <w:rFonts w:ascii="Arial" w:hAnsi="Arial" w:cs="Arial"/>
      <w:sz w:val="21"/>
    </w:rPr>
  </w:style>
  <w:style w:type="paragraph" w:styleId="Pieddepage">
    <w:name w:val="footer"/>
    <w:basedOn w:val="Normal"/>
    <w:link w:val="PieddepageCar"/>
    <w:uiPriority w:val="99"/>
    <w:unhideWhenUsed/>
    <w:rsid w:val="00823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4C8"/>
    <w:rPr>
      <w:rFonts w:ascii="Arial" w:hAnsi="Arial" w:cs="Arial"/>
      <w:sz w:val="21"/>
    </w:rPr>
  </w:style>
  <w:style w:type="paragraph" w:styleId="Notedebasdepage">
    <w:name w:val="footnote text"/>
    <w:basedOn w:val="Normal"/>
    <w:link w:val="NotedebasdepageCar"/>
    <w:uiPriority w:val="99"/>
    <w:semiHidden/>
    <w:unhideWhenUsed/>
    <w:rsid w:val="00B03E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E76"/>
    <w:rPr>
      <w:rFonts w:ascii="Arial" w:hAnsi="Arial" w:cs="Arial"/>
      <w:sz w:val="20"/>
      <w:szCs w:val="20"/>
    </w:rPr>
  </w:style>
  <w:style w:type="character" w:styleId="Appelnotedebasdep">
    <w:name w:val="footnote reference"/>
    <w:basedOn w:val="Policepardfaut"/>
    <w:unhideWhenUsed/>
    <w:rsid w:val="00B03E76"/>
    <w:rPr>
      <w:vertAlign w:val="superscript"/>
    </w:rPr>
  </w:style>
  <w:style w:type="paragraph" w:styleId="Paragraphedeliste">
    <w:name w:val="List Paragraph"/>
    <w:basedOn w:val="Normal"/>
    <w:uiPriority w:val="34"/>
    <w:qFormat/>
    <w:rsid w:val="003556C6"/>
    <w:pPr>
      <w:ind w:left="720"/>
      <w:contextualSpacing/>
    </w:pPr>
  </w:style>
  <w:style w:type="paragraph" w:customStyle="1" w:styleId="fonction">
    <w:name w:val="fonction"/>
    <w:basedOn w:val="Normal"/>
    <w:rsid w:val="004878E8"/>
    <w:pPr>
      <w:spacing w:after="120" w:line="240" w:lineRule="auto"/>
      <w:jc w:val="left"/>
    </w:pPr>
    <w:rPr>
      <w:rFonts w:eastAsia="Times New Roman"/>
      <w:sz w:val="16"/>
      <w:szCs w:val="16"/>
      <w:lang w:val="fr-FR" w:eastAsia="fr-FR"/>
    </w:rPr>
  </w:style>
  <w:style w:type="paragraph" w:customStyle="1" w:styleId="Texte1113">
    <w:name w:val="Texte 11/13"/>
    <w:basedOn w:val="Normal"/>
    <w:link w:val="Texte1113Car"/>
    <w:rsid w:val="004878E8"/>
    <w:pPr>
      <w:spacing w:after="0" w:line="260" w:lineRule="atLeast"/>
    </w:pPr>
    <w:rPr>
      <w:rFonts w:eastAsia="Times"/>
      <w:lang w:val="fr-FR" w:eastAsia="fr-FR"/>
    </w:rPr>
  </w:style>
  <w:style w:type="character" w:customStyle="1" w:styleId="Texte1113Car">
    <w:name w:val="Texte 11/13 Car"/>
    <w:link w:val="Texte1113"/>
    <w:rsid w:val="004878E8"/>
    <w:rPr>
      <w:rFonts w:ascii="Arial" w:eastAsia="Times" w:hAnsi="Arial" w:cs="Arial"/>
      <w:lang w:val="fr-FR" w:eastAsia="fr-FR"/>
    </w:rPr>
  </w:style>
  <w:style w:type="table" w:styleId="Grilledutableau">
    <w:name w:val="Table Grid"/>
    <w:basedOn w:val="TableauNormal"/>
    <w:rsid w:val="0078221C"/>
    <w:pPr>
      <w:spacing w:after="0" w:line="240" w:lineRule="auto"/>
    </w:pPr>
    <w:rPr>
      <w:rFonts w:ascii="Arial" w:eastAsia="Times New Roman" w:hAnsi="Arial" w:cs="Arial"/>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05E"/>
    <w:rPr>
      <w:sz w:val="16"/>
      <w:szCs w:val="16"/>
    </w:rPr>
  </w:style>
  <w:style w:type="paragraph" w:styleId="Commentaire">
    <w:name w:val="annotation text"/>
    <w:basedOn w:val="Normal"/>
    <w:link w:val="CommentaireCar"/>
    <w:uiPriority w:val="99"/>
    <w:unhideWhenUsed/>
    <w:rsid w:val="0080605E"/>
    <w:pPr>
      <w:spacing w:line="240" w:lineRule="auto"/>
    </w:pPr>
    <w:rPr>
      <w:sz w:val="20"/>
      <w:szCs w:val="20"/>
    </w:rPr>
  </w:style>
  <w:style w:type="character" w:customStyle="1" w:styleId="CommentaireCar">
    <w:name w:val="Commentaire Car"/>
    <w:basedOn w:val="Policepardfaut"/>
    <w:link w:val="Commentaire"/>
    <w:uiPriority w:val="99"/>
    <w:rsid w:val="0080605E"/>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0605E"/>
    <w:rPr>
      <w:b/>
      <w:bCs/>
    </w:rPr>
  </w:style>
  <w:style w:type="character" w:customStyle="1" w:styleId="ObjetducommentaireCar">
    <w:name w:val="Objet du commentaire Car"/>
    <w:basedOn w:val="CommentaireCar"/>
    <w:link w:val="Objetducommentaire"/>
    <w:uiPriority w:val="99"/>
    <w:semiHidden/>
    <w:rsid w:val="0080605E"/>
    <w:rPr>
      <w:rFonts w:ascii="Arial" w:hAnsi="Arial" w:cs="Arial"/>
      <w:b/>
      <w:bCs/>
      <w:sz w:val="20"/>
      <w:szCs w:val="20"/>
    </w:rPr>
  </w:style>
  <w:style w:type="paragraph" w:styleId="Textedebulles">
    <w:name w:val="Balloon Text"/>
    <w:basedOn w:val="Normal"/>
    <w:link w:val="TextedebullesCar"/>
    <w:uiPriority w:val="99"/>
    <w:semiHidden/>
    <w:unhideWhenUsed/>
    <w:rsid w:val="008060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05E"/>
    <w:rPr>
      <w:rFonts w:ascii="Segoe UI" w:hAnsi="Segoe UI" w:cs="Segoe UI"/>
      <w:sz w:val="18"/>
      <w:szCs w:val="18"/>
    </w:rPr>
  </w:style>
  <w:style w:type="paragraph" w:styleId="Rvision">
    <w:name w:val="Revision"/>
    <w:hidden/>
    <w:uiPriority w:val="99"/>
    <w:semiHidden/>
    <w:rsid w:val="00AD76C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2364-C237-4B4F-9CC2-FDE3953D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 Léo</dc:creator>
  <cp:keywords/>
  <dc:description/>
  <cp:lastModifiedBy>Biedermann Léo</cp:lastModifiedBy>
  <cp:revision>23</cp:revision>
  <dcterms:created xsi:type="dcterms:W3CDTF">2022-03-15T09:02:00Z</dcterms:created>
  <dcterms:modified xsi:type="dcterms:W3CDTF">2022-03-22T07:58:00Z</dcterms:modified>
</cp:coreProperties>
</file>